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851" w:rsidRPr="005044A2" w:rsidRDefault="00A94851" w:rsidP="00A94851">
      <w:pPr>
        <w:spacing w:line="240" w:lineRule="auto"/>
        <w:jc w:val="center"/>
        <w:rPr>
          <w:rFonts w:ascii="Times New Roman" w:hAnsi="Times New Roman" w:cs="Times New Roman"/>
          <w:b/>
          <w:sz w:val="32"/>
          <w:szCs w:val="32"/>
          <w:lang w:val="sk-SK"/>
        </w:rPr>
      </w:pPr>
      <w:r w:rsidRPr="005044A2">
        <w:rPr>
          <w:rFonts w:ascii="Times New Roman" w:hAnsi="Times New Roman" w:cs="Times New Roman"/>
          <w:b/>
          <w:sz w:val="32"/>
          <w:szCs w:val="32"/>
          <w:lang w:val="sk-SK"/>
        </w:rPr>
        <w:t>17. Všeobecné právne zásady EÚ ( právny režim zásad )</w:t>
      </w:r>
    </w:p>
    <w:p w:rsidR="00A94851" w:rsidRDefault="00A94851" w:rsidP="00A94851">
      <w:pPr>
        <w:spacing w:line="240" w:lineRule="auto"/>
        <w:rPr>
          <w:rFonts w:ascii="Times New Roman" w:hAnsi="Times New Roman" w:cs="Times New Roman"/>
          <w:sz w:val="24"/>
          <w:szCs w:val="24"/>
          <w:lang w:val="sk-SK"/>
        </w:rPr>
      </w:pP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w:t>
      </w:r>
      <w:r w:rsidRPr="00842CD9">
        <w:rPr>
          <w:rFonts w:ascii="Times New Roman" w:hAnsi="Times New Roman" w:cs="Times New Roman"/>
          <w:sz w:val="24"/>
          <w:szCs w:val="24"/>
          <w:lang w:val="sk-SK"/>
        </w:rPr>
        <w:tab/>
        <w:t>vyjadrujú základné ponímanie práva a spravodlivosti, ktoré musia  byť dodržiavané úniovom právnom poriadku, ale aj v právnych poriadkoch členských štátov.</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w:t>
      </w:r>
      <w:r w:rsidRPr="00842CD9">
        <w:rPr>
          <w:rFonts w:ascii="Times New Roman" w:hAnsi="Times New Roman" w:cs="Times New Roman"/>
          <w:sz w:val="24"/>
          <w:szCs w:val="24"/>
          <w:lang w:val="sk-SK"/>
        </w:rPr>
        <w:tab/>
        <w:t>súbor záruk, ktoré vychádzajú zo samotnej podstaty právneho poriadku Únie vo forme princípov, ktorých dodržiavanie je jedným z charakteristických znakov právneho systému vytvoreného podľa modelu právneho štátu.</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w:t>
      </w:r>
      <w:r w:rsidRPr="00842CD9">
        <w:rPr>
          <w:rFonts w:ascii="Times New Roman" w:hAnsi="Times New Roman" w:cs="Times New Roman"/>
          <w:sz w:val="24"/>
          <w:szCs w:val="24"/>
          <w:lang w:val="sk-SK"/>
        </w:rPr>
        <w:tab/>
        <w:t>horizontálny priamy účinok – všeobecné zásady, predovšetkým základné práva, sú za určitých okolností záväzné aj pre súkromné fyzické a právnické osoby. Niekedy je potrebné rozšíriť pôsobnosť všeobecných zásad aj na horizontálne vzťahy medzi fyzickými a právnickými osobami navzájom ( napríklad Súdny dvor ho priznal zásade nediskriminácie na základe štátnej príslušnosti, v niektorých oblastiach jej aplikácie – vzťahy medzi subjektmi súkromného práva v rámci voľného pohybu pracovníkov, rovnosti odmeňovania alebo slobody podnikania. )</w:t>
      </w:r>
    </w:p>
    <w:p w:rsidR="00A94851" w:rsidRPr="00842CD9" w:rsidRDefault="00A94851" w:rsidP="00A94851">
      <w:pPr>
        <w:spacing w:line="240" w:lineRule="auto"/>
        <w:rPr>
          <w:rFonts w:ascii="Times New Roman" w:hAnsi="Times New Roman" w:cs="Times New Roman"/>
          <w:b/>
          <w:sz w:val="24"/>
          <w:szCs w:val="24"/>
          <w:u w:val="single"/>
          <w:lang w:val="sk-SK"/>
        </w:rPr>
      </w:pPr>
      <w:r w:rsidRPr="00842CD9">
        <w:rPr>
          <w:rFonts w:ascii="Times New Roman" w:hAnsi="Times New Roman" w:cs="Times New Roman"/>
          <w:b/>
          <w:sz w:val="24"/>
          <w:szCs w:val="24"/>
          <w:u w:val="single"/>
          <w:lang w:val="sk-SK"/>
        </w:rPr>
        <w:t>Triedenie:</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1. zásady odvodené z povahy Únie a ich právneho poriadku:</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2. zásady odvodené z vnútroštátnych právnych systémov členských štátov:</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3. základné práva a slobody:</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 právo na ľudskú dôstojnosť, právo na život, právo na nedotknuteľnosť osoby, právo na slobodu a bezpečnosť, sloboda myslenia, svedomia a náboženského vyznania, sloboda podnikania, vlastnícke právo, právo obrátiť sa na európskeho ombudsmana, právo voliť a byť volený vo voľbách do Európskeho parlamentu a vo voľbách do orgánov samosprávy obcí, petičné právo, prezumpcia neviny a právo na obhajobu.</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4. zásady medzinárodného práva:</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 xml:space="preserve">- zásada teritoriality, zásada </w:t>
      </w:r>
      <w:proofErr w:type="spellStart"/>
      <w:r w:rsidRPr="00842CD9">
        <w:rPr>
          <w:rFonts w:ascii="Times New Roman" w:hAnsi="Times New Roman" w:cs="Times New Roman"/>
          <w:sz w:val="24"/>
          <w:szCs w:val="24"/>
          <w:lang w:val="sk-SK"/>
        </w:rPr>
        <w:t>rebus</w:t>
      </w:r>
      <w:proofErr w:type="spellEnd"/>
      <w:r w:rsidRPr="00842CD9">
        <w:rPr>
          <w:rFonts w:ascii="Times New Roman" w:hAnsi="Times New Roman" w:cs="Times New Roman"/>
          <w:sz w:val="24"/>
          <w:szCs w:val="24"/>
          <w:lang w:val="sk-SK"/>
        </w:rPr>
        <w:t xml:space="preserve"> </w:t>
      </w:r>
      <w:proofErr w:type="spellStart"/>
      <w:r w:rsidRPr="00842CD9">
        <w:rPr>
          <w:rFonts w:ascii="Times New Roman" w:hAnsi="Times New Roman" w:cs="Times New Roman"/>
          <w:sz w:val="24"/>
          <w:szCs w:val="24"/>
          <w:lang w:val="sk-SK"/>
        </w:rPr>
        <w:t>sic</w:t>
      </w:r>
      <w:proofErr w:type="spellEnd"/>
      <w:r w:rsidRPr="00842CD9">
        <w:rPr>
          <w:rFonts w:ascii="Times New Roman" w:hAnsi="Times New Roman" w:cs="Times New Roman"/>
          <w:sz w:val="24"/>
          <w:szCs w:val="24"/>
          <w:lang w:val="sk-SK"/>
        </w:rPr>
        <w:t xml:space="preserve"> </w:t>
      </w:r>
      <w:proofErr w:type="spellStart"/>
      <w:r w:rsidRPr="00842CD9">
        <w:rPr>
          <w:rFonts w:ascii="Times New Roman" w:hAnsi="Times New Roman" w:cs="Times New Roman"/>
          <w:sz w:val="24"/>
          <w:szCs w:val="24"/>
          <w:lang w:val="sk-SK"/>
        </w:rPr>
        <w:t>stantibus</w:t>
      </w:r>
      <w:proofErr w:type="spellEnd"/>
      <w:r w:rsidRPr="00842CD9">
        <w:rPr>
          <w:rFonts w:ascii="Times New Roman" w:hAnsi="Times New Roman" w:cs="Times New Roman"/>
          <w:sz w:val="24"/>
          <w:szCs w:val="24"/>
          <w:lang w:val="sk-SK"/>
        </w:rPr>
        <w:t>, zákaz odmietnutia vstupu a pobytu vlastných štátnych príslušníkov na štátnom území.</w:t>
      </w:r>
    </w:p>
    <w:p w:rsidR="00A94851" w:rsidRPr="00842CD9" w:rsidRDefault="00A94851" w:rsidP="00A94851">
      <w:pPr>
        <w:spacing w:line="240" w:lineRule="auto"/>
        <w:rPr>
          <w:rFonts w:ascii="Times New Roman" w:hAnsi="Times New Roman" w:cs="Times New Roman"/>
          <w:b/>
          <w:sz w:val="24"/>
          <w:szCs w:val="24"/>
          <w:u w:val="single"/>
          <w:lang w:val="sk-SK"/>
        </w:rPr>
      </w:pPr>
      <w:r w:rsidRPr="00842CD9">
        <w:rPr>
          <w:rFonts w:ascii="Times New Roman" w:hAnsi="Times New Roman" w:cs="Times New Roman"/>
          <w:b/>
          <w:sz w:val="24"/>
          <w:szCs w:val="24"/>
          <w:u w:val="single"/>
          <w:lang w:val="sk-SK"/>
        </w:rPr>
        <w:t>Funkcie všeobecných zásad v úniovom právnom poriadku</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a) revízna funkcia – všeobecné právne zásady úniového práva sú najčastejšie používané za účelom dosiahnutia zrušenia ustanovenia úniového aktu v konaní o neplatnosti aktu podľa článku 263 ZFEÚ alebo v prejudiciálnom konaní podľa článku 267 ZFEÚ.</w:t>
      </w:r>
    </w:p>
    <w:p w:rsidR="00A94851" w:rsidRDefault="00A94851" w:rsidP="00A94851">
      <w:pPr>
        <w:spacing w:line="240" w:lineRule="auto"/>
        <w:rPr>
          <w:rFonts w:ascii="Times New Roman" w:hAnsi="Times New Roman" w:cs="Times New Roman"/>
          <w:sz w:val="24"/>
          <w:szCs w:val="24"/>
          <w:lang w:val="sk-SK"/>
        </w:rPr>
      </w:pPr>
      <w:r>
        <w:rPr>
          <w:rFonts w:ascii="Times New Roman" w:hAnsi="Times New Roman" w:cs="Times New Roman"/>
          <w:sz w:val="24"/>
          <w:szCs w:val="24"/>
          <w:lang w:val="sk-SK"/>
        </w:rPr>
        <w:t>b) interpretačná</w:t>
      </w:r>
      <w:r w:rsidRPr="00842CD9">
        <w:rPr>
          <w:rFonts w:ascii="Times New Roman" w:hAnsi="Times New Roman" w:cs="Times New Roman"/>
          <w:sz w:val="24"/>
          <w:szCs w:val="24"/>
          <w:lang w:val="sk-SK"/>
        </w:rPr>
        <w:t xml:space="preserve"> funkcia – medzinárodné zmluvy, ktorými je Únia viazaná, ako aj sekundárne právne akty Únie vykladané nielen v súlade so zakladajúcimi zmluvami, ale aj v súlade so všeobecnými zásadami úniového práva, ktoré majú vyššiu právnu silu.</w:t>
      </w:r>
    </w:p>
    <w:p w:rsidR="00A94851" w:rsidRPr="00842CD9" w:rsidRDefault="00A94851" w:rsidP="00A94851">
      <w:pPr>
        <w:spacing w:line="240" w:lineRule="auto"/>
        <w:rPr>
          <w:rFonts w:ascii="Times New Roman" w:hAnsi="Times New Roman" w:cs="Times New Roman"/>
          <w:sz w:val="24"/>
          <w:szCs w:val="24"/>
          <w:lang w:val="sk-SK"/>
        </w:rPr>
      </w:pPr>
      <w:r>
        <w:rPr>
          <w:rFonts w:ascii="Times New Roman" w:hAnsi="Times New Roman" w:cs="Times New Roman"/>
          <w:sz w:val="24"/>
          <w:szCs w:val="24"/>
          <w:lang w:val="sk-SK"/>
        </w:rPr>
        <w:t xml:space="preserve">- </w:t>
      </w:r>
      <w:r w:rsidRPr="00842CD9">
        <w:rPr>
          <w:rFonts w:ascii="Times New Roman" w:hAnsi="Times New Roman" w:cs="Times New Roman"/>
          <w:sz w:val="24"/>
          <w:szCs w:val="24"/>
          <w:lang w:val="sk-SK"/>
        </w:rPr>
        <w:t xml:space="preserve">nepripúšťa sa výklad sekundárneho práva </w:t>
      </w:r>
      <w:proofErr w:type="spellStart"/>
      <w:r w:rsidRPr="00842CD9">
        <w:rPr>
          <w:rFonts w:ascii="Times New Roman" w:hAnsi="Times New Roman" w:cs="Times New Roman"/>
          <w:sz w:val="24"/>
          <w:szCs w:val="24"/>
          <w:lang w:val="sk-SK"/>
        </w:rPr>
        <w:t>contra</w:t>
      </w:r>
      <w:proofErr w:type="spellEnd"/>
      <w:r w:rsidRPr="00842CD9">
        <w:rPr>
          <w:rFonts w:ascii="Times New Roman" w:hAnsi="Times New Roman" w:cs="Times New Roman"/>
          <w:sz w:val="24"/>
          <w:szCs w:val="24"/>
          <w:lang w:val="sk-SK"/>
        </w:rPr>
        <w:t xml:space="preserve"> </w:t>
      </w:r>
      <w:proofErr w:type="spellStart"/>
      <w:r w:rsidRPr="00842CD9">
        <w:rPr>
          <w:rFonts w:ascii="Times New Roman" w:hAnsi="Times New Roman" w:cs="Times New Roman"/>
          <w:sz w:val="24"/>
          <w:szCs w:val="24"/>
          <w:lang w:val="sk-SK"/>
        </w:rPr>
        <w:t>legem</w:t>
      </w:r>
      <w:proofErr w:type="spellEnd"/>
      <w:r w:rsidRPr="00842CD9">
        <w:rPr>
          <w:rFonts w:ascii="Times New Roman" w:hAnsi="Times New Roman" w:cs="Times New Roman"/>
          <w:sz w:val="24"/>
          <w:szCs w:val="24"/>
          <w:lang w:val="sk-SK"/>
        </w:rPr>
        <w:t>, Súdny dvor nedisponuje právomocou meniť ustanovenia sekundárneho práva, ktoré sú v rozpore so zásadami, preto musia byť vyhlásené za neplatné.</w:t>
      </w:r>
    </w:p>
    <w:p w:rsidR="00A94851"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lastRenderedPageBreak/>
        <w:t>- vnútroštátny súd je v medziach svojich právomocí povinný vykladať vnútroštátne ustanovenia patriace do pôsobnosti úniového práva v súlade s úniovými právnymi zásadami vrátane základných práv, pričom môže využiť aj inštitút prejudiciálnej otázky a obrátiť sa na Súdny dvor.</w:t>
      </w:r>
    </w:p>
    <w:p w:rsidR="00A94851" w:rsidRPr="00842CD9" w:rsidRDefault="00A94851" w:rsidP="00A94851">
      <w:pPr>
        <w:spacing w:line="240" w:lineRule="auto"/>
        <w:rPr>
          <w:rFonts w:ascii="Times New Roman" w:hAnsi="Times New Roman" w:cs="Times New Roman"/>
          <w:sz w:val="24"/>
          <w:szCs w:val="24"/>
          <w:lang w:val="sk-SK"/>
        </w:rPr>
      </w:pPr>
      <w:r>
        <w:rPr>
          <w:rFonts w:ascii="Times New Roman" w:hAnsi="Times New Roman" w:cs="Times New Roman"/>
          <w:sz w:val="24"/>
          <w:szCs w:val="24"/>
          <w:lang w:val="sk-SK"/>
        </w:rPr>
        <w:t>c) funkcia vypĺ</w:t>
      </w:r>
      <w:r w:rsidRPr="00842CD9">
        <w:rPr>
          <w:rFonts w:ascii="Times New Roman" w:hAnsi="Times New Roman" w:cs="Times New Roman"/>
          <w:sz w:val="24"/>
          <w:szCs w:val="24"/>
          <w:lang w:val="sk-SK"/>
        </w:rPr>
        <w:t>ňania právnych medzier – pokiaľ sa v úniovom právnom poriadku vyskytne právna medzera a takúto situáciu neupravuje právna norma, Súdny dvor – odvodí od existujúcich noriem novú normu, ktorá je v súlade so všeobecnými zásadami práva Únie.</w:t>
      </w:r>
    </w:p>
    <w:p w:rsidR="00A94851" w:rsidRPr="00842CD9" w:rsidRDefault="00A94851" w:rsidP="00A94851">
      <w:pPr>
        <w:spacing w:line="240" w:lineRule="auto"/>
        <w:rPr>
          <w:rFonts w:ascii="Times New Roman" w:hAnsi="Times New Roman" w:cs="Times New Roman"/>
          <w:b/>
          <w:sz w:val="24"/>
          <w:szCs w:val="24"/>
          <w:u w:val="single"/>
          <w:lang w:val="sk-SK"/>
        </w:rPr>
      </w:pPr>
      <w:r w:rsidRPr="00842CD9">
        <w:rPr>
          <w:rFonts w:ascii="Times New Roman" w:hAnsi="Times New Roman" w:cs="Times New Roman"/>
          <w:b/>
          <w:sz w:val="24"/>
          <w:szCs w:val="24"/>
          <w:u w:val="single"/>
          <w:lang w:val="sk-SK"/>
        </w:rPr>
        <w:t>Aplikácia všeobecných zásad úniového práva na vnútroštátnej úrovni</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w:t>
      </w:r>
      <w:r w:rsidRPr="00842CD9">
        <w:rPr>
          <w:rFonts w:ascii="Times New Roman" w:hAnsi="Times New Roman" w:cs="Times New Roman"/>
          <w:sz w:val="24"/>
          <w:szCs w:val="24"/>
          <w:lang w:val="sk-SK"/>
        </w:rPr>
        <w:tab/>
        <w:t>ustanovenia právnych poriadkov členských štátov, ktoré patria do pôsobnosti úniového práva, musia byť v súlade so všeobecnými úniovými zásadami</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w:t>
      </w:r>
      <w:r w:rsidRPr="00842CD9">
        <w:rPr>
          <w:rFonts w:ascii="Times New Roman" w:hAnsi="Times New Roman" w:cs="Times New Roman"/>
          <w:sz w:val="24"/>
          <w:szCs w:val="24"/>
          <w:lang w:val="sk-SK"/>
        </w:rPr>
        <w:tab/>
        <w:t>orgány konajúce v mene členského štátu nesmú aplikovať akékoľvek vnútroštátne ustanovenie, ktoré by bolo v rozpore so všeobecnými zásadami a musia prednostne aplikovať všeobecné úniové zásady</w:t>
      </w:r>
    </w:p>
    <w:p w:rsidR="00A94851" w:rsidRPr="00842CD9" w:rsidRDefault="00A94851" w:rsidP="00A94851">
      <w:pPr>
        <w:spacing w:line="240" w:lineRule="auto"/>
        <w:rPr>
          <w:rFonts w:ascii="Times New Roman" w:hAnsi="Times New Roman" w:cs="Times New Roman"/>
          <w:b/>
          <w:sz w:val="32"/>
          <w:szCs w:val="32"/>
          <w:u w:val="single"/>
          <w:lang w:val="sk-SK"/>
        </w:rPr>
      </w:pPr>
      <w:r w:rsidRPr="00842CD9">
        <w:rPr>
          <w:rFonts w:ascii="Times New Roman" w:hAnsi="Times New Roman" w:cs="Times New Roman"/>
          <w:b/>
          <w:sz w:val="32"/>
          <w:szCs w:val="32"/>
          <w:u w:val="single"/>
          <w:lang w:val="sk-SK"/>
        </w:rPr>
        <w:t>Vybrané zásady práva Únie</w:t>
      </w:r>
    </w:p>
    <w:p w:rsidR="00A94851" w:rsidRPr="00842CD9" w:rsidRDefault="00A94851" w:rsidP="00A94851">
      <w:pPr>
        <w:spacing w:line="240" w:lineRule="auto"/>
        <w:rPr>
          <w:rFonts w:ascii="Times New Roman" w:hAnsi="Times New Roman" w:cs="Times New Roman"/>
          <w:b/>
          <w:sz w:val="24"/>
          <w:szCs w:val="24"/>
          <w:u w:val="single"/>
          <w:lang w:val="sk-SK"/>
        </w:rPr>
      </w:pPr>
      <w:r w:rsidRPr="00842CD9">
        <w:rPr>
          <w:rFonts w:ascii="Times New Roman" w:hAnsi="Times New Roman" w:cs="Times New Roman"/>
          <w:b/>
          <w:sz w:val="24"/>
          <w:szCs w:val="24"/>
          <w:u w:val="single"/>
          <w:lang w:val="sk-SK"/>
        </w:rPr>
        <w:t>1) Zásada rovnakého zaobchádzania a nediskriminácie</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 xml:space="preserve">- patrí medzi základné zásady </w:t>
      </w:r>
      <w:proofErr w:type="spellStart"/>
      <w:r w:rsidRPr="00842CD9">
        <w:rPr>
          <w:rFonts w:ascii="Times New Roman" w:hAnsi="Times New Roman" w:cs="Times New Roman"/>
          <w:sz w:val="24"/>
          <w:szCs w:val="24"/>
          <w:lang w:val="sk-SK"/>
        </w:rPr>
        <w:t>uniového</w:t>
      </w:r>
      <w:proofErr w:type="spellEnd"/>
      <w:r w:rsidRPr="00842CD9">
        <w:rPr>
          <w:rFonts w:ascii="Times New Roman" w:hAnsi="Times New Roman" w:cs="Times New Roman"/>
          <w:sz w:val="24"/>
          <w:szCs w:val="24"/>
          <w:lang w:val="sk-SK"/>
        </w:rPr>
        <w:t xml:space="preserve"> práva;</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 vyžaduje, aby sa v porovnateľných situáciách nezaobchádzalo rozdielne a aby sa v rozdielnych situáciách nezaobchádzalo rovnako, pokiaľ takéto zaobchádzanie nie je objektívne odôvodnené;</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 rozdiel v zaobchádzaní je objektívne odôvodnený, ak je založený na kritériách objektivity a primeranosti: existuje legitímny cieľ, ktorý sa má týmto rozdielom dosiahnuť a tento rozdiel je primeraný sledovanému cieľu;</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 rozdielne situácie, ktoré sú dôsledkom prírodných javov, nemožno považovať za diskrimináciu v zmysle úniového práva – za diskrimináciu považuje iba rozdielne zaobchádzanie spôsobené ľudskou činnosťou, najmä opatreniami verejnej správy;</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 v prípade pochybnosti o platnosti úniového aktu z dôvodu porušenia zásady rovnakého zaobchádzania musí splnenie uvedených kritérií preukázať inštitúcia Únie, ktorá akt prijala;</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 zásada rovnosti zaobchádzania sa nevzťahuje na tretie krajiny, v rozpore s touto zásadou nie je také rozdielne zaobchádzanie s úniovými hospodárskymi subjektmi, ktoré automaticky vyplýva z rozdielneho zaobchádzania s tretími krajinami, s ktorými tieto subjekty nadviazali obchodné styky;</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 dodržiavanie zásady rovnosti zaobchádzania musí byť v súlade so zásadou zákonnosti, podľa ktorej sa nikto nemôže dovolávať vo svoj prospech nezákonnosti spôsobenej v prospech iného;</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Zásada rovnosti zaobchádzania a nediskriminácie zahŕňa osobitne:</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w:t>
      </w:r>
      <w:r w:rsidRPr="00842CD9">
        <w:rPr>
          <w:rFonts w:ascii="Times New Roman" w:hAnsi="Times New Roman" w:cs="Times New Roman"/>
          <w:sz w:val="24"/>
          <w:szCs w:val="24"/>
          <w:lang w:val="sk-SK"/>
        </w:rPr>
        <w:tab/>
        <w:t xml:space="preserve">zásadu nediskriminácie na základe štátnej príslušnosti, ktorá sa </w:t>
      </w:r>
      <w:proofErr w:type="spellStart"/>
      <w:r w:rsidRPr="00842CD9">
        <w:rPr>
          <w:rFonts w:ascii="Times New Roman" w:hAnsi="Times New Roman" w:cs="Times New Roman"/>
          <w:sz w:val="24"/>
          <w:szCs w:val="24"/>
          <w:lang w:val="sk-SK"/>
        </w:rPr>
        <w:t>uplatnňuje</w:t>
      </w:r>
      <w:proofErr w:type="spellEnd"/>
      <w:r w:rsidRPr="00842CD9">
        <w:rPr>
          <w:rFonts w:ascii="Times New Roman" w:hAnsi="Times New Roman" w:cs="Times New Roman"/>
          <w:sz w:val="24"/>
          <w:szCs w:val="24"/>
          <w:lang w:val="sk-SK"/>
        </w:rPr>
        <w:t xml:space="preserve"> najmä v oblasti vnútorného trhu Únie, v oblasti voľného pohybu pracovníkov, v oblasti slobody usadenia, v oblasti slobody poskytovania služieb</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lastRenderedPageBreak/>
        <w:t>-</w:t>
      </w:r>
      <w:r w:rsidRPr="00842CD9">
        <w:rPr>
          <w:rFonts w:ascii="Times New Roman" w:hAnsi="Times New Roman" w:cs="Times New Roman"/>
          <w:sz w:val="24"/>
          <w:szCs w:val="24"/>
          <w:lang w:val="sk-SK"/>
        </w:rPr>
        <w:tab/>
        <w:t>zásadu nediskriminácie na základe veku</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w:t>
      </w:r>
      <w:r w:rsidRPr="00842CD9">
        <w:rPr>
          <w:rFonts w:ascii="Times New Roman" w:hAnsi="Times New Roman" w:cs="Times New Roman"/>
          <w:sz w:val="24"/>
          <w:szCs w:val="24"/>
          <w:lang w:val="sk-SK"/>
        </w:rPr>
        <w:tab/>
        <w:t>zásadu nediskriminácie na základe pohlavia</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w:t>
      </w:r>
      <w:r w:rsidRPr="00842CD9">
        <w:rPr>
          <w:rFonts w:ascii="Times New Roman" w:hAnsi="Times New Roman" w:cs="Times New Roman"/>
          <w:sz w:val="24"/>
          <w:szCs w:val="24"/>
          <w:lang w:val="sk-SK"/>
        </w:rPr>
        <w:tab/>
        <w:t>zásadu nediskriminácie na základe rasy, farby pleti, etnického alebo sociálneho pôvodu, genetických  vlastností, jazyka, náboženstva alebo viery, politického alebo iného zmýšľania, príslušnosti k národnostnej menšine, majetku, narodenia, zdravotného postihnutia, veku alebo sexuálnej orientácii</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Harmonizačne akty Únie nespôsobujú diskrimináciu</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Harmonizačný úniový akt ( napr. smernica ), ktorý slúži na zjednotenie predtým rozdielnych noriem členských štátov, nevyhnutne spôsobuje rozdielne účinky v jednotlivých členských štátoch podľa stavu ich právnych úprav, nemožno ho považovať za diskriminačný, pretože sa vzťahuje rovnakým spôsobom na všetky členské štáty</w:t>
      </w:r>
    </w:p>
    <w:p w:rsidR="00A94851" w:rsidRPr="00842CD9" w:rsidRDefault="00A94851" w:rsidP="00A94851">
      <w:pPr>
        <w:spacing w:line="240" w:lineRule="auto"/>
        <w:contextualSpacing/>
        <w:rPr>
          <w:rFonts w:ascii="Times New Roman" w:hAnsi="Times New Roman" w:cs="Times New Roman"/>
          <w:b/>
          <w:sz w:val="24"/>
          <w:szCs w:val="24"/>
          <w:u w:val="single"/>
          <w:lang w:val="sk-SK"/>
        </w:rPr>
      </w:pPr>
      <w:r w:rsidRPr="00842CD9">
        <w:rPr>
          <w:rFonts w:ascii="Times New Roman" w:hAnsi="Times New Roman" w:cs="Times New Roman"/>
          <w:b/>
          <w:sz w:val="24"/>
          <w:szCs w:val="24"/>
          <w:u w:val="single"/>
          <w:lang w:val="sk-SK"/>
        </w:rPr>
        <w:t>2) Zásada právnej istoty</w:t>
      </w:r>
    </w:p>
    <w:p w:rsidR="00A94851" w:rsidRPr="00842CD9" w:rsidRDefault="00A94851" w:rsidP="00A94851">
      <w:pPr>
        <w:spacing w:line="240" w:lineRule="auto"/>
        <w:contextualSpacing/>
        <w:rPr>
          <w:rFonts w:ascii="Times New Roman" w:hAnsi="Times New Roman" w:cs="Times New Roman"/>
          <w:b/>
          <w:sz w:val="24"/>
          <w:szCs w:val="24"/>
          <w:u w:val="single"/>
          <w:lang w:val="sk-SK"/>
        </w:rPr>
      </w:pPr>
    </w:p>
    <w:p w:rsidR="00A94851" w:rsidRPr="00842CD9" w:rsidRDefault="00A94851" w:rsidP="00A94851">
      <w:pPr>
        <w:spacing w:line="240" w:lineRule="auto"/>
        <w:contextualSpacing/>
        <w:rPr>
          <w:rFonts w:ascii="Times New Roman" w:hAnsi="Times New Roman" w:cs="Times New Roman"/>
          <w:sz w:val="24"/>
          <w:szCs w:val="24"/>
          <w:lang w:val="sk-SK"/>
        </w:rPr>
      </w:pPr>
      <w:r w:rsidRPr="00842CD9">
        <w:rPr>
          <w:rFonts w:ascii="Times New Roman" w:hAnsi="Times New Roman" w:cs="Times New Roman"/>
          <w:sz w:val="24"/>
          <w:szCs w:val="24"/>
          <w:lang w:val="sk-SK"/>
        </w:rPr>
        <w:t>- odvodená z ústavných tradícií členských štátov a medzinárodných nástrojov, zaručuje predvídateľnosť právnych situácií a vzťahov v oblasti úniového práva</w:t>
      </w:r>
    </w:p>
    <w:p w:rsidR="00A94851" w:rsidRPr="00842CD9" w:rsidRDefault="00A94851" w:rsidP="00A94851">
      <w:pPr>
        <w:spacing w:line="240" w:lineRule="auto"/>
        <w:contextualSpacing/>
        <w:rPr>
          <w:rFonts w:ascii="Times New Roman" w:hAnsi="Times New Roman" w:cs="Times New Roman"/>
          <w:sz w:val="24"/>
          <w:szCs w:val="24"/>
          <w:lang w:val="sk-SK"/>
        </w:rPr>
      </w:pPr>
    </w:p>
    <w:p w:rsidR="00A94851" w:rsidRPr="00842CD9" w:rsidRDefault="00A94851" w:rsidP="00A94851">
      <w:pPr>
        <w:spacing w:line="240" w:lineRule="auto"/>
        <w:contextualSpacing/>
        <w:rPr>
          <w:rFonts w:ascii="Times New Roman" w:hAnsi="Times New Roman" w:cs="Times New Roman"/>
          <w:sz w:val="24"/>
          <w:szCs w:val="24"/>
          <w:lang w:val="sk-SK"/>
        </w:rPr>
      </w:pPr>
      <w:r w:rsidRPr="00842CD9">
        <w:rPr>
          <w:rFonts w:ascii="Times New Roman" w:hAnsi="Times New Roman" w:cs="Times New Roman"/>
          <w:sz w:val="24"/>
          <w:szCs w:val="24"/>
          <w:lang w:val="sk-SK"/>
        </w:rPr>
        <w:t>- vyžaduje aby všetky úniové právne normy boli jasné, presné a predvídateľné, pokiaľ ide o ich účinky, a to predovšetkým vtedy, ak môžu mať nepriaznivé dôsledky pre fyzické a právnické osoby alebo ak umožňujú ukladať sankcie</w:t>
      </w:r>
    </w:p>
    <w:p w:rsidR="00A94851" w:rsidRPr="00842CD9" w:rsidRDefault="00A94851" w:rsidP="00A94851">
      <w:pPr>
        <w:spacing w:line="240" w:lineRule="auto"/>
        <w:contextualSpacing/>
        <w:rPr>
          <w:rFonts w:ascii="Times New Roman" w:hAnsi="Times New Roman" w:cs="Times New Roman"/>
          <w:sz w:val="24"/>
          <w:szCs w:val="24"/>
          <w:lang w:val="sk-SK"/>
        </w:rPr>
      </w:pPr>
    </w:p>
    <w:p w:rsidR="00A94851" w:rsidRPr="00842CD9" w:rsidRDefault="00A94851" w:rsidP="00A94851">
      <w:pPr>
        <w:spacing w:line="240" w:lineRule="auto"/>
        <w:contextualSpacing/>
        <w:rPr>
          <w:rFonts w:ascii="Times New Roman" w:hAnsi="Times New Roman" w:cs="Times New Roman"/>
          <w:sz w:val="24"/>
          <w:szCs w:val="24"/>
          <w:lang w:val="sk-SK"/>
        </w:rPr>
      </w:pPr>
      <w:r w:rsidRPr="00842CD9">
        <w:rPr>
          <w:rFonts w:ascii="Times New Roman" w:hAnsi="Times New Roman" w:cs="Times New Roman"/>
          <w:sz w:val="24"/>
          <w:szCs w:val="24"/>
          <w:lang w:val="sk-SK"/>
        </w:rPr>
        <w:t xml:space="preserve">- musia ju dodržiavať aj členské štáty Únie, pokiaľ ide o vnútroštátnu legislatívu patriacu do pôsobnosti úniového práva. </w:t>
      </w:r>
    </w:p>
    <w:p w:rsidR="00A94851" w:rsidRPr="00842CD9" w:rsidRDefault="00A94851" w:rsidP="00A94851">
      <w:pPr>
        <w:spacing w:line="240" w:lineRule="auto"/>
        <w:contextualSpacing/>
        <w:rPr>
          <w:rFonts w:ascii="Times New Roman" w:hAnsi="Times New Roman" w:cs="Times New Roman"/>
          <w:sz w:val="24"/>
          <w:szCs w:val="24"/>
          <w:lang w:val="sk-SK"/>
        </w:rPr>
      </w:pPr>
    </w:p>
    <w:p w:rsidR="00A94851" w:rsidRPr="00842CD9" w:rsidRDefault="00A94851" w:rsidP="00A94851">
      <w:pPr>
        <w:spacing w:line="240" w:lineRule="auto"/>
        <w:contextualSpacing/>
        <w:rPr>
          <w:rFonts w:ascii="Times New Roman" w:hAnsi="Times New Roman" w:cs="Times New Roman"/>
          <w:sz w:val="24"/>
          <w:szCs w:val="24"/>
          <w:lang w:val="sk-SK"/>
        </w:rPr>
      </w:pPr>
      <w:r w:rsidRPr="00842CD9">
        <w:rPr>
          <w:rFonts w:ascii="Times New Roman" w:hAnsi="Times New Roman" w:cs="Times New Roman"/>
          <w:sz w:val="24"/>
          <w:szCs w:val="24"/>
          <w:lang w:val="sk-SK"/>
        </w:rPr>
        <w:t>- Jasnosť, presnosť a predvídateľnosť právnych aktov Únie</w:t>
      </w:r>
    </w:p>
    <w:p w:rsidR="00A94851" w:rsidRPr="00842CD9" w:rsidRDefault="00A94851" w:rsidP="00A94851">
      <w:pPr>
        <w:spacing w:line="240" w:lineRule="auto"/>
        <w:contextualSpacing/>
        <w:rPr>
          <w:rFonts w:ascii="Times New Roman" w:hAnsi="Times New Roman" w:cs="Times New Roman"/>
          <w:sz w:val="24"/>
          <w:szCs w:val="24"/>
          <w:lang w:val="sk-SK"/>
        </w:rPr>
      </w:pPr>
    </w:p>
    <w:p w:rsidR="00A94851" w:rsidRPr="00842CD9" w:rsidRDefault="00A94851" w:rsidP="00A94851">
      <w:pPr>
        <w:spacing w:line="240" w:lineRule="auto"/>
        <w:contextualSpacing/>
        <w:rPr>
          <w:rFonts w:ascii="Times New Roman" w:hAnsi="Times New Roman" w:cs="Times New Roman"/>
          <w:sz w:val="24"/>
          <w:szCs w:val="24"/>
          <w:lang w:val="sk-SK"/>
        </w:rPr>
      </w:pPr>
      <w:r w:rsidRPr="00842CD9">
        <w:rPr>
          <w:rFonts w:ascii="Times New Roman" w:hAnsi="Times New Roman" w:cs="Times New Roman"/>
          <w:sz w:val="24"/>
          <w:szCs w:val="24"/>
          <w:lang w:val="sk-SK"/>
        </w:rPr>
        <w:t>- ak sa právny predpis vyznačuje určitým stupňom neistoty, pokiaľ ide o jeho význam a rozsah, je potrebné preskúmať, či tento predpis trpí takou nejednoznačnosťou, ktorá by dotknutým osobám bránila, aby s dostatočnou istotou poznali význam alebo rozsah tohto predpisu</w:t>
      </w:r>
    </w:p>
    <w:p w:rsidR="00A94851" w:rsidRPr="00842CD9" w:rsidRDefault="00A94851" w:rsidP="00A94851">
      <w:pPr>
        <w:spacing w:line="240" w:lineRule="auto"/>
        <w:contextualSpacing/>
        <w:rPr>
          <w:rFonts w:ascii="Times New Roman" w:hAnsi="Times New Roman" w:cs="Times New Roman"/>
          <w:sz w:val="24"/>
          <w:szCs w:val="24"/>
          <w:lang w:val="sk-SK"/>
        </w:rPr>
      </w:pPr>
    </w:p>
    <w:p w:rsidR="00A94851" w:rsidRPr="00842CD9" w:rsidRDefault="00A94851" w:rsidP="00A94851">
      <w:pPr>
        <w:spacing w:line="240" w:lineRule="auto"/>
        <w:contextualSpacing/>
        <w:rPr>
          <w:rFonts w:ascii="Times New Roman" w:hAnsi="Times New Roman" w:cs="Times New Roman"/>
          <w:sz w:val="24"/>
          <w:szCs w:val="24"/>
          <w:lang w:val="sk-SK"/>
        </w:rPr>
      </w:pPr>
      <w:r w:rsidRPr="00842CD9">
        <w:rPr>
          <w:rFonts w:ascii="Times New Roman" w:hAnsi="Times New Roman" w:cs="Times New Roman"/>
          <w:sz w:val="24"/>
          <w:szCs w:val="24"/>
          <w:lang w:val="sk-SK"/>
        </w:rPr>
        <w:t>- pokiaľ akt pripúšťa voľnú úvahu, nie je to v rozpore s požiadavkou predvídateľnosti ako jednou z podmienok zásady právnej istoty za predpokladu, že rozsah a spôsob výkonu tejto právomoci sú vymedzené s dostatočnou presnosťou tak, aby bola jednotlivcovi poskytnutá primeraná ochrana proti svojvoľnému ( arbitrárnemu ) rozhodnutiu</w:t>
      </w:r>
    </w:p>
    <w:p w:rsidR="00A94851" w:rsidRPr="00842CD9" w:rsidRDefault="00A94851" w:rsidP="00A94851">
      <w:pPr>
        <w:spacing w:line="240" w:lineRule="auto"/>
        <w:contextualSpacing/>
        <w:rPr>
          <w:rFonts w:ascii="Times New Roman" w:hAnsi="Times New Roman" w:cs="Times New Roman"/>
          <w:sz w:val="24"/>
          <w:szCs w:val="24"/>
          <w:lang w:val="sk-SK"/>
        </w:rPr>
      </w:pPr>
    </w:p>
    <w:p w:rsidR="00A94851" w:rsidRPr="00842CD9" w:rsidRDefault="00A94851" w:rsidP="00A94851">
      <w:pPr>
        <w:spacing w:line="240" w:lineRule="auto"/>
        <w:contextualSpacing/>
        <w:rPr>
          <w:rFonts w:ascii="Times New Roman" w:hAnsi="Times New Roman" w:cs="Times New Roman"/>
          <w:sz w:val="24"/>
          <w:szCs w:val="24"/>
          <w:lang w:val="sk-SK"/>
        </w:rPr>
      </w:pPr>
      <w:r w:rsidRPr="00842CD9">
        <w:rPr>
          <w:rFonts w:ascii="Times New Roman" w:hAnsi="Times New Roman" w:cs="Times New Roman"/>
          <w:sz w:val="24"/>
          <w:szCs w:val="24"/>
          <w:lang w:val="sk-SK"/>
        </w:rPr>
        <w:t xml:space="preserve">- zásady právnej istoty a legitímnej dôvery nachádzajú významné uplatnenie nielen pri prijímaní úniových aktov ale aj pri súvisiacich otázkach ich zmien, autentifikácie, uverejnenia, časovej pôsobnosti, </w:t>
      </w:r>
      <w:proofErr w:type="spellStart"/>
      <w:r w:rsidRPr="00842CD9">
        <w:rPr>
          <w:rFonts w:ascii="Times New Roman" w:hAnsi="Times New Roman" w:cs="Times New Roman"/>
          <w:sz w:val="24"/>
          <w:szCs w:val="24"/>
          <w:lang w:val="sk-SK"/>
        </w:rPr>
        <w:t>a.i</w:t>
      </w:r>
      <w:proofErr w:type="spellEnd"/>
      <w:r w:rsidRPr="00842CD9">
        <w:rPr>
          <w:rFonts w:ascii="Times New Roman" w:hAnsi="Times New Roman" w:cs="Times New Roman"/>
          <w:sz w:val="24"/>
          <w:szCs w:val="24"/>
          <w:lang w:val="sk-SK"/>
        </w:rPr>
        <w:t>.</w:t>
      </w:r>
    </w:p>
    <w:p w:rsidR="00A94851" w:rsidRPr="00842CD9" w:rsidRDefault="00A94851" w:rsidP="00A94851">
      <w:pPr>
        <w:spacing w:line="240" w:lineRule="auto"/>
        <w:contextualSpacing/>
        <w:rPr>
          <w:rFonts w:ascii="Times New Roman" w:hAnsi="Times New Roman" w:cs="Times New Roman"/>
          <w:sz w:val="24"/>
          <w:szCs w:val="24"/>
          <w:lang w:val="sk-SK"/>
        </w:rPr>
      </w:pPr>
    </w:p>
    <w:p w:rsidR="00A94851" w:rsidRPr="00842CD9" w:rsidRDefault="00A94851" w:rsidP="00A94851">
      <w:pPr>
        <w:spacing w:line="240" w:lineRule="auto"/>
        <w:contextualSpacing/>
        <w:rPr>
          <w:rFonts w:ascii="Times New Roman" w:hAnsi="Times New Roman" w:cs="Times New Roman"/>
          <w:sz w:val="24"/>
          <w:szCs w:val="24"/>
          <w:lang w:val="sk-SK"/>
        </w:rPr>
      </w:pPr>
      <w:r w:rsidRPr="00842CD9">
        <w:rPr>
          <w:rFonts w:ascii="Times New Roman" w:hAnsi="Times New Roman" w:cs="Times New Roman"/>
          <w:sz w:val="24"/>
          <w:szCs w:val="24"/>
          <w:lang w:val="sk-SK"/>
        </w:rPr>
        <w:t>- význam pojmu predvídateľnosť závisí od obsahu znenia predpisu, od oblasti, na ktorú sa tento predpis vzťahuje, ako aj od počtu a charakteru osôb, ktorým je určený. Predvídateľnosť právnej úpravy nebráni tomu, aby dotknutá osoba bola nútená použiť objasňujúce stanoviská, s cieľom zhodnotiť spôsobom primeraným okolnostiam prípadu dôsledky, ktoré môžu z daného aktu vyplynúť</w:t>
      </w:r>
    </w:p>
    <w:p w:rsidR="00A94851" w:rsidRPr="00842CD9" w:rsidRDefault="00A94851" w:rsidP="00A94851">
      <w:pPr>
        <w:spacing w:line="240" w:lineRule="auto"/>
        <w:contextualSpacing/>
        <w:rPr>
          <w:rFonts w:ascii="Times New Roman" w:hAnsi="Times New Roman" w:cs="Times New Roman"/>
          <w:sz w:val="24"/>
          <w:szCs w:val="24"/>
          <w:lang w:val="sk-SK"/>
        </w:rPr>
      </w:pPr>
    </w:p>
    <w:p w:rsidR="00A94851" w:rsidRPr="00842CD9" w:rsidRDefault="00A94851" w:rsidP="00A94851">
      <w:pPr>
        <w:spacing w:line="240" w:lineRule="auto"/>
        <w:contextualSpacing/>
        <w:rPr>
          <w:rFonts w:ascii="Times New Roman" w:hAnsi="Times New Roman" w:cs="Times New Roman"/>
          <w:sz w:val="24"/>
          <w:szCs w:val="24"/>
          <w:u w:val="single"/>
          <w:lang w:val="sk-SK"/>
        </w:rPr>
      </w:pPr>
      <w:r w:rsidRPr="00842CD9">
        <w:rPr>
          <w:rFonts w:ascii="Times New Roman" w:hAnsi="Times New Roman" w:cs="Times New Roman"/>
          <w:sz w:val="24"/>
          <w:szCs w:val="24"/>
          <w:u w:val="single"/>
          <w:lang w:val="sk-SK"/>
        </w:rPr>
        <w:t>Oznámenie aktu</w:t>
      </w:r>
    </w:p>
    <w:p w:rsidR="00A94851" w:rsidRPr="00842CD9" w:rsidRDefault="00A94851" w:rsidP="00A94851">
      <w:pPr>
        <w:spacing w:line="240" w:lineRule="auto"/>
        <w:contextualSpacing/>
        <w:rPr>
          <w:rFonts w:ascii="Times New Roman" w:hAnsi="Times New Roman" w:cs="Times New Roman"/>
          <w:sz w:val="24"/>
          <w:szCs w:val="24"/>
          <w:lang w:val="sk-SK"/>
        </w:rPr>
      </w:pPr>
    </w:p>
    <w:p w:rsidR="00A94851" w:rsidRPr="00842CD9" w:rsidRDefault="00A94851" w:rsidP="00A94851">
      <w:pPr>
        <w:spacing w:line="240" w:lineRule="auto"/>
        <w:contextualSpacing/>
        <w:rPr>
          <w:rFonts w:ascii="Times New Roman" w:hAnsi="Times New Roman" w:cs="Times New Roman"/>
          <w:sz w:val="24"/>
          <w:szCs w:val="24"/>
          <w:lang w:val="sk-SK"/>
        </w:rPr>
      </w:pPr>
      <w:r w:rsidRPr="00842CD9">
        <w:rPr>
          <w:rFonts w:ascii="Times New Roman" w:hAnsi="Times New Roman" w:cs="Times New Roman"/>
          <w:sz w:val="24"/>
          <w:szCs w:val="24"/>
          <w:lang w:val="sk-SK"/>
        </w:rPr>
        <w:t>Každý úniový správny akt ( napr. rozhodnutie ), ktorý vyvoláva právne účinky musí byť jasný a presný a dotknutý subjekt s ním musí byť oboznámený tak, aby mohol s istotou poznať okamih platnosti a účinnosti tohto aktu. Akty, ktoré ukladajú určitým subjektom povinnosti, musia im byť vhodným spôsobom oznámené; to však neznamená, že musia byť doručené vždy individuálne a s potvrdením o doručení.</w:t>
      </w:r>
    </w:p>
    <w:p w:rsidR="00A94851" w:rsidRPr="00842CD9" w:rsidRDefault="00A94851" w:rsidP="00A94851">
      <w:pPr>
        <w:spacing w:line="240" w:lineRule="auto"/>
        <w:contextualSpacing/>
        <w:rPr>
          <w:rFonts w:ascii="Times New Roman" w:hAnsi="Times New Roman" w:cs="Times New Roman"/>
          <w:sz w:val="24"/>
          <w:szCs w:val="24"/>
          <w:lang w:val="sk-SK"/>
        </w:rPr>
      </w:pPr>
    </w:p>
    <w:p w:rsidR="00A94851" w:rsidRPr="00842CD9" w:rsidRDefault="00A94851" w:rsidP="00A94851">
      <w:pPr>
        <w:spacing w:line="240" w:lineRule="auto"/>
        <w:contextualSpacing/>
        <w:rPr>
          <w:rFonts w:ascii="Times New Roman" w:hAnsi="Times New Roman" w:cs="Times New Roman"/>
          <w:sz w:val="24"/>
          <w:szCs w:val="24"/>
          <w:u w:val="single"/>
          <w:lang w:val="sk-SK"/>
        </w:rPr>
      </w:pPr>
      <w:r w:rsidRPr="00842CD9">
        <w:rPr>
          <w:rFonts w:ascii="Times New Roman" w:hAnsi="Times New Roman" w:cs="Times New Roman"/>
          <w:sz w:val="24"/>
          <w:szCs w:val="24"/>
          <w:u w:val="single"/>
          <w:lang w:val="sk-SK"/>
        </w:rPr>
        <w:t>Časová pôsobnosť aktu</w:t>
      </w:r>
    </w:p>
    <w:p w:rsidR="00A94851" w:rsidRPr="00842CD9" w:rsidRDefault="00A94851" w:rsidP="00A94851">
      <w:pPr>
        <w:spacing w:line="240" w:lineRule="auto"/>
        <w:contextualSpacing/>
        <w:rPr>
          <w:rFonts w:ascii="Times New Roman" w:hAnsi="Times New Roman" w:cs="Times New Roman"/>
          <w:sz w:val="24"/>
          <w:szCs w:val="24"/>
          <w:lang w:val="sk-SK"/>
        </w:rPr>
      </w:pPr>
    </w:p>
    <w:p w:rsidR="00A94851" w:rsidRPr="00842CD9" w:rsidRDefault="00A94851" w:rsidP="00A94851">
      <w:pPr>
        <w:spacing w:line="240" w:lineRule="auto"/>
        <w:contextualSpacing/>
        <w:rPr>
          <w:rFonts w:ascii="Times New Roman" w:hAnsi="Times New Roman" w:cs="Times New Roman"/>
          <w:sz w:val="24"/>
          <w:szCs w:val="24"/>
          <w:lang w:val="sk-SK"/>
        </w:rPr>
      </w:pPr>
      <w:r w:rsidRPr="00842CD9">
        <w:rPr>
          <w:rFonts w:ascii="Times New Roman" w:hAnsi="Times New Roman" w:cs="Times New Roman"/>
          <w:sz w:val="24"/>
          <w:szCs w:val="24"/>
          <w:lang w:val="sk-SK"/>
        </w:rPr>
        <w:t>Každý skutkový stav musí byť vo všeobecnosti, ak nie je  výslovne uvedené inak, posudzovaný podľa hmotnoprávnych právnych noriem platných v čase jeho vzniku. V prípade procesnoprávnych noriem platí vo všeobecnosti, že tieto sa použijú na všetky spory  prebiehajúce v čase ich vstupu do platnosti. Neexistencia stanovenej premlčacej lehoty nevylučuje možnosť, že konanie Komisie môže byť v rozpore so zásadou právnej istoty – Komisia nemôže v súlade so zásadou právnej istoty bez časového obmedzenia odďaľovať výkon svojich právomocí. Súdny dvor môže preskúmať, či Komisia nekonala neprimerane neskoro.</w:t>
      </w:r>
    </w:p>
    <w:p w:rsidR="00A94851" w:rsidRPr="00842CD9" w:rsidRDefault="00A94851" w:rsidP="00A94851">
      <w:pPr>
        <w:spacing w:line="240" w:lineRule="auto"/>
        <w:contextualSpacing/>
        <w:rPr>
          <w:rFonts w:ascii="Times New Roman" w:hAnsi="Times New Roman" w:cs="Times New Roman"/>
          <w:sz w:val="24"/>
          <w:szCs w:val="24"/>
          <w:lang w:val="sk-SK"/>
        </w:rPr>
      </w:pPr>
    </w:p>
    <w:p w:rsidR="00A94851" w:rsidRPr="00842CD9" w:rsidRDefault="00A94851" w:rsidP="00A94851">
      <w:pPr>
        <w:spacing w:line="240" w:lineRule="auto"/>
        <w:contextualSpacing/>
        <w:rPr>
          <w:rFonts w:ascii="Times New Roman" w:hAnsi="Times New Roman" w:cs="Times New Roman"/>
          <w:b/>
          <w:sz w:val="24"/>
          <w:szCs w:val="24"/>
          <w:u w:val="single"/>
          <w:lang w:val="sk-SK"/>
        </w:rPr>
      </w:pPr>
      <w:r w:rsidRPr="00842CD9">
        <w:rPr>
          <w:rFonts w:ascii="Times New Roman" w:hAnsi="Times New Roman" w:cs="Times New Roman"/>
          <w:b/>
          <w:sz w:val="24"/>
          <w:szCs w:val="24"/>
          <w:u w:val="single"/>
          <w:lang w:val="sk-SK"/>
        </w:rPr>
        <w:t xml:space="preserve">3) Zásada ne </w:t>
      </w:r>
      <w:proofErr w:type="spellStart"/>
      <w:r w:rsidRPr="00842CD9">
        <w:rPr>
          <w:rFonts w:ascii="Times New Roman" w:hAnsi="Times New Roman" w:cs="Times New Roman"/>
          <w:b/>
          <w:sz w:val="24"/>
          <w:szCs w:val="24"/>
          <w:u w:val="single"/>
          <w:lang w:val="sk-SK"/>
        </w:rPr>
        <w:t>bis</w:t>
      </w:r>
      <w:proofErr w:type="spellEnd"/>
      <w:r w:rsidRPr="00842CD9">
        <w:rPr>
          <w:rFonts w:ascii="Times New Roman" w:hAnsi="Times New Roman" w:cs="Times New Roman"/>
          <w:b/>
          <w:sz w:val="24"/>
          <w:szCs w:val="24"/>
          <w:u w:val="single"/>
          <w:lang w:val="sk-SK"/>
        </w:rPr>
        <w:t xml:space="preserve"> in idem</w:t>
      </w:r>
    </w:p>
    <w:p w:rsidR="00A94851" w:rsidRPr="00842CD9" w:rsidRDefault="00A94851" w:rsidP="00A94851">
      <w:pPr>
        <w:spacing w:line="240" w:lineRule="auto"/>
        <w:contextualSpacing/>
        <w:rPr>
          <w:rFonts w:ascii="Times New Roman" w:hAnsi="Times New Roman" w:cs="Times New Roman"/>
          <w:b/>
          <w:sz w:val="24"/>
          <w:szCs w:val="24"/>
          <w:u w:val="single"/>
          <w:lang w:val="sk-SK"/>
        </w:rPr>
      </w:pP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 zakotvená v čl. 50 Charty a v čl. 4 protokolu č. 7 Dohovoru</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 ,,tá istá osoba nesmie byť potrestaná viac ako jedenkrát za to isté protiprávne konanie s cieľom chrániť ten istý právny záujem“</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 uplatnenie zásady prichádza do úvahy v prípade splnenia trojitej kumulatívnej podmienky totožnosti skutkov, porušovateľa a chráneného právneho záujmu</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 v oblasti úniového práva hospodárskej súťaže zakazuje, aby Komisia opätovne stíhala alebo potrestala podnik z dôvodu protisúťažného správania, za ktoré už bol tento podnik potrestaný alebo uznaný za nevinný skorším rozhodnutím Komisie, proti ktorému už nemožno podať opravný prostriedok</w:t>
      </w:r>
    </w:p>
    <w:p w:rsidR="00A94851" w:rsidRPr="00842CD9" w:rsidRDefault="00A94851" w:rsidP="00A94851">
      <w:pPr>
        <w:spacing w:line="240" w:lineRule="auto"/>
        <w:rPr>
          <w:rFonts w:ascii="Times New Roman" w:hAnsi="Times New Roman" w:cs="Times New Roman"/>
          <w:b/>
          <w:sz w:val="24"/>
          <w:szCs w:val="24"/>
          <w:u w:val="single"/>
          <w:lang w:val="sk-SK"/>
        </w:rPr>
      </w:pPr>
      <w:r w:rsidRPr="00842CD9">
        <w:rPr>
          <w:rFonts w:ascii="Times New Roman" w:hAnsi="Times New Roman" w:cs="Times New Roman"/>
          <w:b/>
          <w:sz w:val="24"/>
          <w:szCs w:val="24"/>
          <w:u w:val="single"/>
          <w:lang w:val="sk-SK"/>
        </w:rPr>
        <w:t xml:space="preserve">4) Zásada zákonnosti sankcií   </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 vyžaduje, aby sankcie trestnej alebo netrestnej povahy mohli byť ukladané iba na jasnom a jednoznačnom právnom základe</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 xml:space="preserve">- zásada zákonnosti trestných činov a trestov ( </w:t>
      </w:r>
      <w:proofErr w:type="spellStart"/>
      <w:r w:rsidRPr="00842CD9">
        <w:rPr>
          <w:rFonts w:ascii="Times New Roman" w:hAnsi="Times New Roman" w:cs="Times New Roman"/>
          <w:sz w:val="24"/>
          <w:szCs w:val="24"/>
          <w:lang w:val="sk-SK"/>
        </w:rPr>
        <w:t>nullum</w:t>
      </w:r>
      <w:proofErr w:type="spellEnd"/>
      <w:r w:rsidRPr="00842CD9">
        <w:rPr>
          <w:rFonts w:ascii="Times New Roman" w:hAnsi="Times New Roman" w:cs="Times New Roman"/>
          <w:sz w:val="24"/>
          <w:szCs w:val="24"/>
          <w:lang w:val="sk-SK"/>
        </w:rPr>
        <w:t xml:space="preserve"> </w:t>
      </w:r>
      <w:proofErr w:type="spellStart"/>
      <w:r w:rsidRPr="00842CD9">
        <w:rPr>
          <w:rFonts w:ascii="Times New Roman" w:hAnsi="Times New Roman" w:cs="Times New Roman"/>
          <w:sz w:val="24"/>
          <w:szCs w:val="24"/>
          <w:lang w:val="sk-SK"/>
        </w:rPr>
        <w:t>crimen</w:t>
      </w:r>
      <w:proofErr w:type="spellEnd"/>
      <w:r w:rsidRPr="00842CD9">
        <w:rPr>
          <w:rFonts w:ascii="Times New Roman" w:hAnsi="Times New Roman" w:cs="Times New Roman"/>
          <w:sz w:val="24"/>
          <w:szCs w:val="24"/>
          <w:lang w:val="sk-SK"/>
        </w:rPr>
        <w:t xml:space="preserve">, </w:t>
      </w:r>
      <w:proofErr w:type="spellStart"/>
      <w:r w:rsidRPr="00842CD9">
        <w:rPr>
          <w:rFonts w:ascii="Times New Roman" w:hAnsi="Times New Roman" w:cs="Times New Roman"/>
          <w:sz w:val="24"/>
          <w:szCs w:val="24"/>
          <w:lang w:val="sk-SK"/>
        </w:rPr>
        <w:t>nulla</w:t>
      </w:r>
      <w:proofErr w:type="spellEnd"/>
      <w:r w:rsidRPr="00842CD9">
        <w:rPr>
          <w:rFonts w:ascii="Times New Roman" w:hAnsi="Times New Roman" w:cs="Times New Roman"/>
          <w:sz w:val="24"/>
          <w:szCs w:val="24"/>
          <w:lang w:val="sk-SK"/>
        </w:rPr>
        <w:t xml:space="preserve"> </w:t>
      </w:r>
      <w:proofErr w:type="spellStart"/>
      <w:r w:rsidRPr="00842CD9">
        <w:rPr>
          <w:rFonts w:ascii="Times New Roman" w:hAnsi="Times New Roman" w:cs="Times New Roman"/>
          <w:sz w:val="24"/>
          <w:szCs w:val="24"/>
          <w:lang w:val="sk-SK"/>
        </w:rPr>
        <w:t>poena</w:t>
      </w:r>
      <w:proofErr w:type="spellEnd"/>
      <w:r w:rsidRPr="00842CD9">
        <w:rPr>
          <w:rFonts w:ascii="Times New Roman" w:hAnsi="Times New Roman" w:cs="Times New Roman"/>
          <w:sz w:val="24"/>
          <w:szCs w:val="24"/>
          <w:lang w:val="sk-SK"/>
        </w:rPr>
        <w:t xml:space="preserve"> sine </w:t>
      </w:r>
      <w:proofErr w:type="spellStart"/>
      <w:r w:rsidRPr="00842CD9">
        <w:rPr>
          <w:rFonts w:ascii="Times New Roman" w:hAnsi="Times New Roman" w:cs="Times New Roman"/>
          <w:sz w:val="24"/>
          <w:szCs w:val="24"/>
          <w:lang w:val="sk-SK"/>
        </w:rPr>
        <w:t>lege</w:t>
      </w:r>
      <w:proofErr w:type="spellEnd"/>
      <w:r w:rsidRPr="00842CD9">
        <w:rPr>
          <w:rFonts w:ascii="Times New Roman" w:hAnsi="Times New Roman" w:cs="Times New Roman"/>
          <w:sz w:val="24"/>
          <w:szCs w:val="24"/>
          <w:lang w:val="sk-SK"/>
        </w:rPr>
        <w:t xml:space="preserve"> ) ustanovená v čl. 49 Charty znamená, že zákon musí jasne definovať trestné činy a tresty za ne ukladané</w:t>
      </w:r>
    </w:p>
    <w:p w:rsidR="00A94851" w:rsidRPr="00842CD9" w:rsidRDefault="00A94851" w:rsidP="00A94851">
      <w:pPr>
        <w:spacing w:line="240" w:lineRule="auto"/>
        <w:rPr>
          <w:rFonts w:ascii="Times New Roman" w:hAnsi="Times New Roman" w:cs="Times New Roman"/>
          <w:b/>
          <w:sz w:val="24"/>
          <w:szCs w:val="24"/>
          <w:u w:val="single"/>
          <w:lang w:val="sk-SK"/>
        </w:rPr>
      </w:pPr>
      <w:r w:rsidRPr="00842CD9">
        <w:rPr>
          <w:rFonts w:ascii="Times New Roman" w:hAnsi="Times New Roman" w:cs="Times New Roman"/>
          <w:b/>
          <w:sz w:val="24"/>
          <w:szCs w:val="24"/>
          <w:u w:val="single"/>
          <w:lang w:val="sk-SK"/>
        </w:rPr>
        <w:t>5) Zásada rešpektovania legitímnej dôvery</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 je dôsledkom právnej istoty</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 znamená, že právne subjekty musia mať možnosť rátať so zachovaním určitého právneho stavu</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 uplatnenie zásady legitímnej dôvery predpokladá splnenie 3 podmienok:</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lastRenderedPageBreak/>
        <w:t>-</w:t>
      </w:r>
      <w:r w:rsidRPr="00842CD9">
        <w:rPr>
          <w:rFonts w:ascii="Times New Roman" w:hAnsi="Times New Roman" w:cs="Times New Roman"/>
          <w:sz w:val="24"/>
          <w:szCs w:val="24"/>
          <w:lang w:val="sk-SK"/>
        </w:rPr>
        <w:tab/>
        <w:t>dotknutej osobe musí úniový orgán poskytnúť presné, nepodmienečné a zhodné záruky pochádzajúce z oprávnených a dôveryhodných zdrojov : akékoľvek informácie, bez ohľadu na ich formu, pokiaľ spĺňajú podmienky; správna prax; nečinnosť inštitúcie, ktoré nie sú v rozpore s platnou právnou úpravou a nepredstavujú výkon voľnej úvahy tejto inštitúcie. Za záruku sa nepovažuje: vyjadrenie úradníka Komisie ( generálneho riaditeľa ) alebo samotného komisára, pretože Komisia rozhoduje na základe zásady kolegiality</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w:t>
      </w:r>
      <w:r w:rsidRPr="00842CD9">
        <w:rPr>
          <w:rFonts w:ascii="Times New Roman" w:hAnsi="Times New Roman" w:cs="Times New Roman"/>
          <w:sz w:val="24"/>
          <w:szCs w:val="24"/>
          <w:lang w:val="sk-SK"/>
        </w:rPr>
        <w:tab/>
        <w:t>tieto záruky musia byť spôsobilé vyvolať u dotknutej osoby legitímne očakávanie</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w:t>
      </w:r>
      <w:r w:rsidRPr="00842CD9">
        <w:rPr>
          <w:rFonts w:ascii="Times New Roman" w:hAnsi="Times New Roman" w:cs="Times New Roman"/>
          <w:sz w:val="24"/>
          <w:szCs w:val="24"/>
          <w:lang w:val="sk-SK"/>
        </w:rPr>
        <w:tab/>
        <w:t>poskytnuté záruky musia byť v súlade s platnými predpismi – pokiaľ konanie inštitúcie alebo členského štátu nie je v súlade s úniovým právom , nemôže dôjsť k vzniku legitímnej dôvery</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Vylúčenie legitímnej dôvery</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Na porušenie legitímnej dôvery sa nemôže/nemožno odvolávať :</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w:t>
      </w:r>
      <w:r w:rsidRPr="00842CD9">
        <w:rPr>
          <w:rFonts w:ascii="Times New Roman" w:hAnsi="Times New Roman" w:cs="Times New Roman"/>
          <w:sz w:val="24"/>
          <w:szCs w:val="24"/>
          <w:lang w:val="sk-SK"/>
        </w:rPr>
        <w:tab/>
        <w:t>ten, kto zjavným spôsobom porušil platnú úniovú legislatívu</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w:t>
      </w:r>
      <w:r w:rsidRPr="00842CD9">
        <w:rPr>
          <w:rFonts w:ascii="Times New Roman" w:hAnsi="Times New Roman" w:cs="Times New Roman"/>
          <w:sz w:val="24"/>
          <w:szCs w:val="24"/>
          <w:lang w:val="sk-SK"/>
        </w:rPr>
        <w:tab/>
        <w:t>subjekt, konajúci s potrebnou opatrnosťou a obozretnosťou, ak mohol predvídať prijatie úniových opatrení spôsobilých ovplyvniť jeho záujmy</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w:t>
      </w:r>
      <w:r w:rsidRPr="00842CD9">
        <w:rPr>
          <w:rFonts w:ascii="Times New Roman" w:hAnsi="Times New Roman" w:cs="Times New Roman"/>
          <w:sz w:val="24"/>
          <w:szCs w:val="24"/>
          <w:lang w:val="sk-SK"/>
        </w:rPr>
        <w:tab/>
        <w:t>členský štát v súvislosti s dôsledkami, ktoré mu vyplývajú z rozhodnutia Súdneho dvora o neplatnosti úniového aktu, pretože by to spochybnilo ochranu jednotlivcov proti nezákonným rozhodnutiam orgánov verejnej správy</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w:t>
      </w:r>
      <w:r w:rsidRPr="00842CD9">
        <w:rPr>
          <w:rFonts w:ascii="Times New Roman" w:hAnsi="Times New Roman" w:cs="Times New Roman"/>
          <w:sz w:val="24"/>
          <w:szCs w:val="24"/>
          <w:lang w:val="sk-SK"/>
        </w:rPr>
        <w:tab/>
        <w:t>na účely potvrdenia alebo zopakovania nesprávneho výkladu aktu</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Legitímna dôvera vzniká dňom oznámenia aktu, ktorý sa jeho adresátovi javí ako platný a nemusí sa na ňu prihliadať iba vtedy, ak je tu prevažujúci dôvod všeobecného záujmu.</w:t>
      </w:r>
    </w:p>
    <w:p w:rsidR="00A94851" w:rsidRPr="00842CD9" w:rsidRDefault="00A94851" w:rsidP="00A94851">
      <w:pPr>
        <w:spacing w:line="240" w:lineRule="auto"/>
        <w:rPr>
          <w:rFonts w:ascii="Times New Roman" w:hAnsi="Times New Roman" w:cs="Times New Roman"/>
          <w:b/>
          <w:sz w:val="24"/>
          <w:szCs w:val="24"/>
          <w:u w:val="single"/>
          <w:lang w:val="sk-SK"/>
        </w:rPr>
      </w:pPr>
      <w:r w:rsidRPr="00842CD9">
        <w:rPr>
          <w:rFonts w:ascii="Times New Roman" w:hAnsi="Times New Roman" w:cs="Times New Roman"/>
          <w:b/>
          <w:sz w:val="24"/>
          <w:szCs w:val="24"/>
          <w:u w:val="single"/>
          <w:lang w:val="sk-SK"/>
        </w:rPr>
        <w:t>6) Zásada proporcionality</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 čl. 5 ods. 4 ZFEÚ</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 inštitúcie Únie sú pri výkone svojich právomocí povinné dbať na to, aby povinnosti uložené hospodárskym subjektom boli primerané, t.j. aby neprekračovali rámec toho, čo je nevyhnutné na dosiahnutie cieľov, ktoré musí inštitúcia realizovať</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 sankcia za porušenie úniovej povinnosti nesmie prekročiť rámec toho, čo je vhodné a nevyhnutné na dosiahnutie sledovaného cieľa</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 vyžaduje, aby sekundárne úniové akty boli schopné realizovať sledovaný cieľ a aby neprekračovali rámec toho, čo je vhodné a nevyhnutné na dosiahnutie tohto cieľa. Pokiaľ má inštitúcia Únie možnosť vybrať si spomedzi viacerých vhodných opatrení, ktorými možno dosiahnuť ten istý sledovaný cieľ, mala by použiť najmenej obmedzujúce opatrenie – obmedzenia spôsobené prijatím tohto vhodného opatrenia pritom nesmú byť v zjavnom nepomere k sledovanému cieľu</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 právomoc pri skúmaní dodržiavania zásady proporcionality pri normotvornej činnosti inštitúcií Únie má Súdny dvor</w:t>
      </w:r>
    </w:p>
    <w:p w:rsidR="00A94851" w:rsidRPr="00842CD9" w:rsidRDefault="00A94851" w:rsidP="00A94851">
      <w:pPr>
        <w:spacing w:line="240" w:lineRule="auto"/>
        <w:rPr>
          <w:rFonts w:ascii="Times New Roman" w:hAnsi="Times New Roman" w:cs="Times New Roman"/>
          <w:b/>
          <w:sz w:val="24"/>
          <w:szCs w:val="24"/>
          <w:u w:val="single"/>
          <w:lang w:val="sk-SK"/>
        </w:rPr>
      </w:pPr>
      <w:r w:rsidRPr="00842CD9">
        <w:rPr>
          <w:rFonts w:ascii="Times New Roman" w:hAnsi="Times New Roman" w:cs="Times New Roman"/>
          <w:b/>
          <w:sz w:val="24"/>
          <w:szCs w:val="24"/>
          <w:u w:val="single"/>
          <w:lang w:val="sk-SK"/>
        </w:rPr>
        <w:lastRenderedPageBreak/>
        <w:t>7) Zásada opatrnosti</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 vyplýva z článkov Zmluvy o fungovaní EÚ : čl. 4 ods. 2 písm. k); čl. 11; čl. 168 ods. 1; čl. 169 ods. 1; čl. 191 ods. 1 a 2</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 ukladá príslušným inštitúciám Únie povinnosť v rámci ich právomoci prijať vhodné opatrenia, s cieľom predísť potenciálnym ohrozeniam verejného zdravia, bezpečnosti spotrebiteľa a životného prostredia, a uprednostniť tak požiadavky kladené na ochranu týchto záujmov pred záujmami ekonomickými</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 aplikuje sa predovšetkým v oblasti politiky životného prostredia alebo ak sa prijímajú opatrenia na ochranu ľudského zdravia alebo na ochranu bezpečnosti spotrebiteľa pri realizácii ostatných politík Únie</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 v oblasti verejného zdravia táto zásada znamená, že v prípade, ak pretrváva vedecká neistota ohľadom existencie alebo rozsahu ohrozenia zdravia ľudí, úniové inštitúcie môžu prijať príslušné ochranné opatrenia bez toho, aby museli vyčkať na riadne preukázanie reálnosti a závažnosti týchto ohrození</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 pokiaľ nové skutočnosti zmenia vnímanie pôvodného ohrozenia alebo preukážu, že toto ohrozenie možno obmedziť menej obmedzujúcimi opatreniami, úniové inštitúcie by mali v súlade so zásadou proporcionality prispôsobiť legislatívu týmto novým skutočnostiam</w:t>
      </w:r>
    </w:p>
    <w:p w:rsidR="00A94851" w:rsidRPr="00842CD9" w:rsidRDefault="00A94851" w:rsidP="00A94851">
      <w:pPr>
        <w:spacing w:line="240" w:lineRule="auto"/>
        <w:rPr>
          <w:rFonts w:ascii="Times New Roman" w:hAnsi="Times New Roman" w:cs="Times New Roman"/>
          <w:b/>
          <w:sz w:val="24"/>
          <w:szCs w:val="24"/>
          <w:u w:val="single"/>
          <w:lang w:val="sk-SK"/>
        </w:rPr>
      </w:pPr>
      <w:r w:rsidRPr="00842CD9">
        <w:rPr>
          <w:rFonts w:ascii="Times New Roman" w:hAnsi="Times New Roman" w:cs="Times New Roman"/>
          <w:b/>
          <w:sz w:val="24"/>
          <w:szCs w:val="24"/>
          <w:u w:val="single"/>
          <w:lang w:val="sk-SK"/>
        </w:rPr>
        <w:t>8) Zásada dobrej viery</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 pravidlo medzinárodného obyčajového práva, ktorého existencia bola uznaná Stálym dvorom medzinárodnej spravodlivosti zriadeným pri Spoločnosti národov a neskôr aj Medzinárodným súdnym dvorom</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 upravuje čl. 18 Viedenského dohovoru o zmluvnom práve podpísaný 23. Mája 1969</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 napríklad v prípade zmluvných záväzkov členského štátu je podľa tejto zásady potrebné prihliadať na očakávania, ktoré tento člen. Štát vyvolal svojím správaním u ostatných zmluvných stranách</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 uplatňuje sa aj pri plnení povinností vyplývajúcich z medzinárodných zmlúv</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 xml:space="preserve">- v medzinárodnom práve je zásada dobrej viery dôsledkom ochrany  zásady legitímnych očakávaní </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 legitímnej dôvery )</w:t>
      </w:r>
    </w:p>
    <w:p w:rsidR="00A94851" w:rsidRPr="00842CD9" w:rsidRDefault="00A94851" w:rsidP="00A94851">
      <w:pPr>
        <w:spacing w:line="240" w:lineRule="auto"/>
        <w:rPr>
          <w:rFonts w:ascii="Times New Roman" w:hAnsi="Times New Roman" w:cs="Times New Roman"/>
          <w:b/>
          <w:sz w:val="24"/>
          <w:szCs w:val="24"/>
          <w:u w:val="single"/>
          <w:lang w:val="sk-SK"/>
        </w:rPr>
      </w:pPr>
      <w:r w:rsidRPr="00842CD9">
        <w:rPr>
          <w:rFonts w:ascii="Times New Roman" w:hAnsi="Times New Roman" w:cs="Times New Roman"/>
          <w:b/>
          <w:sz w:val="24"/>
          <w:szCs w:val="24"/>
          <w:u w:val="single"/>
          <w:lang w:val="sk-SK"/>
        </w:rPr>
        <w:t>9) Zásada inštitucionálnej rovnováhy</w:t>
      </w:r>
    </w:p>
    <w:p w:rsidR="00A94851" w:rsidRPr="00842CD9" w:rsidRDefault="00A94851" w:rsidP="00A94851">
      <w:pPr>
        <w:spacing w:line="240" w:lineRule="auto"/>
        <w:rPr>
          <w:rFonts w:ascii="Times New Roman" w:hAnsi="Times New Roman" w:cs="Times New Roman"/>
          <w:b/>
          <w:sz w:val="24"/>
          <w:szCs w:val="24"/>
          <w:u w:val="single"/>
          <w:lang w:val="sk-SK"/>
        </w:rPr>
      </w:pPr>
      <w:r w:rsidRPr="00842CD9">
        <w:rPr>
          <w:rFonts w:ascii="Times New Roman" w:hAnsi="Times New Roman" w:cs="Times New Roman"/>
          <w:sz w:val="24"/>
          <w:szCs w:val="24"/>
          <w:lang w:val="sk-SK"/>
        </w:rPr>
        <w:t>- znamená, že každá inštitúcia vykonáva svoje právomoci rešpektujúc právomoci ostatných inštitúcií, pričom každé porušenie zásady inštitucionálnej rovnováhy musí byť sankcionované</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 každá inštitúcia alebo orgán Únie môže preniesť určitú časť svojich právomocí za podmienok, ktoré sama určí. Presun právomocí inštitúciou Únie sa riadi nasledujúcimi podmienkami:</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w:t>
      </w:r>
      <w:r w:rsidRPr="00842CD9">
        <w:rPr>
          <w:rFonts w:ascii="Times New Roman" w:hAnsi="Times New Roman" w:cs="Times New Roman"/>
          <w:sz w:val="24"/>
          <w:szCs w:val="24"/>
          <w:lang w:val="sk-SK"/>
        </w:rPr>
        <w:tab/>
        <w:t>delegujúci subjekt ( poverovateľ ) nemôže preniesť viac právomocí ako sám má;</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lastRenderedPageBreak/>
        <w:t>-</w:t>
      </w:r>
      <w:r w:rsidRPr="00842CD9">
        <w:rPr>
          <w:rFonts w:ascii="Times New Roman" w:hAnsi="Times New Roman" w:cs="Times New Roman"/>
          <w:sz w:val="24"/>
          <w:szCs w:val="24"/>
          <w:lang w:val="sk-SK"/>
        </w:rPr>
        <w:tab/>
        <w:t>výkon zverených právomocí podlieha rovnakým podmienkam, ako keby ich vykonával priamo poverovateľ</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w:t>
      </w:r>
      <w:r w:rsidRPr="00842CD9">
        <w:rPr>
          <w:rFonts w:ascii="Times New Roman" w:hAnsi="Times New Roman" w:cs="Times New Roman"/>
          <w:sz w:val="24"/>
          <w:szCs w:val="24"/>
          <w:lang w:val="sk-SK"/>
        </w:rPr>
        <w:tab/>
        <w:t>aj keď je poverovateľ oprávnený preniesť právomoc, musí o jej presune výslovne rozhodnúť, pričom v rozhodnutí presne vymedzí rozsah prenesených vykonávacích právomocí</w:t>
      </w:r>
    </w:p>
    <w:p w:rsidR="00A94851" w:rsidRPr="00842CD9" w:rsidRDefault="00A94851" w:rsidP="00A94851">
      <w:pPr>
        <w:spacing w:line="240" w:lineRule="auto"/>
        <w:rPr>
          <w:rFonts w:ascii="Times New Roman" w:hAnsi="Times New Roman" w:cs="Times New Roman"/>
          <w:b/>
          <w:sz w:val="24"/>
          <w:szCs w:val="24"/>
          <w:u w:val="single"/>
          <w:lang w:val="sk-SK"/>
        </w:rPr>
      </w:pPr>
      <w:r w:rsidRPr="00842CD9">
        <w:rPr>
          <w:rFonts w:ascii="Times New Roman" w:hAnsi="Times New Roman" w:cs="Times New Roman"/>
          <w:b/>
          <w:sz w:val="24"/>
          <w:szCs w:val="24"/>
          <w:u w:val="single"/>
          <w:lang w:val="sk-SK"/>
        </w:rPr>
        <w:t>10) Ďalšie zásady</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w:t>
      </w:r>
      <w:r w:rsidRPr="00842CD9">
        <w:rPr>
          <w:rFonts w:ascii="Times New Roman" w:hAnsi="Times New Roman" w:cs="Times New Roman"/>
          <w:sz w:val="24"/>
          <w:szCs w:val="24"/>
          <w:lang w:val="sk-SK"/>
        </w:rPr>
        <w:tab/>
        <w:t>zásada dobrej správy ( administrácie ) – zakotvená v čl. 41 Charty, nachádza uplatnenie vo vzťahoch inštitúcií Únie s členskými štátmi, s podnikmi alebo s úradníkmi;</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w:t>
      </w:r>
      <w:r w:rsidRPr="00842CD9">
        <w:rPr>
          <w:rFonts w:ascii="Times New Roman" w:hAnsi="Times New Roman" w:cs="Times New Roman"/>
          <w:sz w:val="24"/>
          <w:szCs w:val="24"/>
          <w:lang w:val="sk-SK"/>
        </w:rPr>
        <w:tab/>
        <w:t>zásada zákazu bezdôvodného obohatenia – žaloba o vydanie bezdôvodného obohatenia nemusí byť odôvodnená nezákonnosťou alebo protiprávnym konaním odporcu a príčinnou súvislosťou ako žaloba o náhradu škody;</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w:t>
      </w:r>
      <w:r w:rsidRPr="00842CD9">
        <w:rPr>
          <w:rFonts w:ascii="Times New Roman" w:hAnsi="Times New Roman" w:cs="Times New Roman"/>
          <w:sz w:val="24"/>
          <w:szCs w:val="24"/>
          <w:lang w:val="sk-SK"/>
        </w:rPr>
        <w:tab/>
        <w:t>zásada zákazu retroaktivity trestných predpisov – vyžaduje aby uložené tresty zodpovedali trestom, ktoré boli ustanovené zákonom v čase porušenia právnej normy. Zákaz retroaktivity bráni retroaktívnemu uplatneniu novej normy a tiež použitiu nového výkladu pôvodnej normy, ktorý nebolo možné rozumne predvídať v čase porušenia právnej normy;</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w:t>
      </w:r>
      <w:r w:rsidRPr="00842CD9">
        <w:rPr>
          <w:rFonts w:ascii="Times New Roman" w:hAnsi="Times New Roman" w:cs="Times New Roman"/>
          <w:sz w:val="24"/>
          <w:szCs w:val="24"/>
          <w:lang w:val="sk-SK"/>
        </w:rPr>
        <w:tab/>
        <w:t xml:space="preserve">zásada retroaktívneho použitia priaznivejšieho trestného predpisu – úniové právo pripúšťa v trestnej oblasti rovnako ako právne poriadky členských štátov retroaktivitu in </w:t>
      </w:r>
      <w:proofErr w:type="spellStart"/>
      <w:r w:rsidRPr="00842CD9">
        <w:rPr>
          <w:rFonts w:ascii="Times New Roman" w:hAnsi="Times New Roman" w:cs="Times New Roman"/>
          <w:sz w:val="24"/>
          <w:szCs w:val="24"/>
          <w:lang w:val="sk-SK"/>
        </w:rPr>
        <w:t>mitius</w:t>
      </w:r>
      <w:proofErr w:type="spellEnd"/>
      <w:r w:rsidRPr="00842CD9">
        <w:rPr>
          <w:rFonts w:ascii="Times New Roman" w:hAnsi="Times New Roman" w:cs="Times New Roman"/>
          <w:sz w:val="24"/>
          <w:szCs w:val="24"/>
          <w:lang w:val="sk-SK"/>
        </w:rPr>
        <w:t>, na základe ktorej sa na skutok spáchaný pred platnosťou nového aktu použije tento nový akt za predpokladu, že obsahuje pre páchateľa skutku priaznivejšie ustanovenia;</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w:t>
      </w:r>
      <w:r w:rsidRPr="00842CD9">
        <w:rPr>
          <w:rFonts w:ascii="Times New Roman" w:hAnsi="Times New Roman" w:cs="Times New Roman"/>
          <w:sz w:val="24"/>
          <w:szCs w:val="24"/>
          <w:lang w:val="sk-SK"/>
        </w:rPr>
        <w:tab/>
        <w:t>zásada sankcionovania zneužitia práva – Súdny dvor uznal zatiaľ len implicitne, sankcionované je každé úmyselné konanie právneho subjektu, ktorý s cieľom získať výhodu vyplývajúcu z úniovej normy vytvorí umelým spôsobom podmienky pre jej získanie</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w:t>
      </w:r>
      <w:r w:rsidRPr="00842CD9">
        <w:rPr>
          <w:rFonts w:ascii="Times New Roman" w:hAnsi="Times New Roman" w:cs="Times New Roman"/>
          <w:sz w:val="24"/>
          <w:szCs w:val="24"/>
          <w:lang w:val="sk-SK"/>
        </w:rPr>
        <w:tab/>
        <w:t>zásada slobody vykonávania ekonomických činností a zásada slobody výberu ekonomického partnera</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w:t>
      </w:r>
      <w:r w:rsidRPr="00842CD9">
        <w:rPr>
          <w:rFonts w:ascii="Times New Roman" w:hAnsi="Times New Roman" w:cs="Times New Roman"/>
          <w:sz w:val="24"/>
          <w:szCs w:val="24"/>
          <w:lang w:val="sk-SK"/>
        </w:rPr>
        <w:tab/>
        <w:t>zásada rešpektovania nadobudnutých sociálnych práv</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w:t>
      </w:r>
      <w:r w:rsidRPr="00842CD9">
        <w:rPr>
          <w:rFonts w:ascii="Times New Roman" w:hAnsi="Times New Roman" w:cs="Times New Roman"/>
          <w:sz w:val="24"/>
          <w:szCs w:val="24"/>
          <w:lang w:val="sk-SK"/>
        </w:rPr>
        <w:tab/>
        <w:t>zásada starostlivosti</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w:t>
      </w:r>
      <w:r w:rsidRPr="00842CD9">
        <w:rPr>
          <w:rFonts w:ascii="Times New Roman" w:hAnsi="Times New Roman" w:cs="Times New Roman"/>
          <w:sz w:val="24"/>
          <w:szCs w:val="24"/>
          <w:lang w:val="sk-SK"/>
        </w:rPr>
        <w:tab/>
        <w:t>zásada komunitárnej preferencie</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Iné zásady</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w:t>
      </w:r>
      <w:r w:rsidRPr="00842CD9">
        <w:rPr>
          <w:rFonts w:ascii="Times New Roman" w:hAnsi="Times New Roman" w:cs="Times New Roman"/>
          <w:sz w:val="24"/>
          <w:szCs w:val="24"/>
          <w:lang w:val="sk-SK"/>
        </w:rPr>
        <w:tab/>
        <w:t>zásada voľného pohybu</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w:t>
      </w:r>
      <w:r w:rsidRPr="00842CD9">
        <w:rPr>
          <w:rFonts w:ascii="Times New Roman" w:hAnsi="Times New Roman" w:cs="Times New Roman"/>
          <w:sz w:val="24"/>
          <w:szCs w:val="24"/>
          <w:lang w:val="sk-SK"/>
        </w:rPr>
        <w:tab/>
        <w:t>zásada solidarity a rovnosti medzi členskými štátmi</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w:t>
      </w:r>
      <w:r w:rsidRPr="00842CD9">
        <w:rPr>
          <w:rFonts w:ascii="Times New Roman" w:hAnsi="Times New Roman" w:cs="Times New Roman"/>
          <w:sz w:val="24"/>
          <w:szCs w:val="24"/>
          <w:lang w:val="sk-SK"/>
        </w:rPr>
        <w:tab/>
        <w:t>zásada voľnej súťaže</w:t>
      </w:r>
    </w:p>
    <w:p w:rsidR="00A94851" w:rsidRPr="00842CD9" w:rsidRDefault="00A94851" w:rsidP="00A94851">
      <w:pPr>
        <w:spacing w:line="240" w:lineRule="auto"/>
        <w:rPr>
          <w:rFonts w:ascii="Times New Roman" w:hAnsi="Times New Roman" w:cs="Times New Roman"/>
          <w:sz w:val="24"/>
          <w:szCs w:val="24"/>
          <w:lang w:val="sk-SK"/>
        </w:rPr>
      </w:pPr>
      <w:r w:rsidRPr="00842CD9">
        <w:rPr>
          <w:rFonts w:ascii="Times New Roman" w:hAnsi="Times New Roman" w:cs="Times New Roman"/>
          <w:sz w:val="24"/>
          <w:szCs w:val="24"/>
          <w:lang w:val="sk-SK"/>
        </w:rPr>
        <w:t>-</w:t>
      </w:r>
      <w:r w:rsidRPr="00842CD9">
        <w:rPr>
          <w:rFonts w:ascii="Times New Roman" w:hAnsi="Times New Roman" w:cs="Times New Roman"/>
          <w:sz w:val="24"/>
          <w:szCs w:val="24"/>
          <w:lang w:val="sk-SK"/>
        </w:rPr>
        <w:tab/>
        <w:t>zásada kontinuálnosti európskej verejnej služby</w:t>
      </w:r>
    </w:p>
    <w:p w:rsidR="00641B7D" w:rsidRPr="008921F0" w:rsidRDefault="00A94851" w:rsidP="00A94851">
      <w:pPr>
        <w:rPr>
          <w:rFonts w:ascii="Times New Roman" w:hAnsi="Times New Roman" w:cs="Times New Roman"/>
          <w:sz w:val="24"/>
          <w:szCs w:val="24"/>
        </w:rPr>
      </w:pPr>
    </w:p>
    <w:p w:rsidR="00BB3DEE" w:rsidRDefault="00A94851"/>
    <w:sectPr w:rsidR="00BB3DEE" w:rsidSect="00923C4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94851"/>
    <w:rsid w:val="009F01D2"/>
    <w:rsid w:val="00A94851"/>
    <w:rsid w:val="00C90EBD"/>
    <w:rsid w:val="00F23677"/>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94851"/>
    <w:pPr>
      <w:spacing w:line="276" w:lineRule="auto"/>
    </w:pPr>
    <w:rPr>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2294</Words>
  <Characters>14454</Characters>
  <Application>Microsoft Office Word</Application>
  <DocSecurity>0</DocSecurity>
  <Lines>120</Lines>
  <Paragraphs>33</Paragraphs>
  <ScaleCrop>false</ScaleCrop>
  <Company/>
  <LinksUpToDate>false</LinksUpToDate>
  <CharactersWithSpaces>16715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laco</dc:creator>
  <cp:lastModifiedBy>laco</cp:lastModifiedBy>
  <cp:revision>1</cp:revision>
  <dcterms:created xsi:type="dcterms:W3CDTF">2012-04-23T13:49:00Z</dcterms:created>
  <dcterms:modified xsi:type="dcterms:W3CDTF">2012-04-23T13:51:00Z</dcterms:modified>
</cp:coreProperties>
</file>