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A2" w:rsidRPr="00931702" w:rsidRDefault="005044A2" w:rsidP="005044A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931702">
        <w:rPr>
          <w:rFonts w:ascii="Times New Roman" w:hAnsi="Times New Roman" w:cs="Times New Roman"/>
          <w:b/>
          <w:sz w:val="32"/>
          <w:szCs w:val="32"/>
          <w:lang w:val="sk-SK"/>
        </w:rPr>
        <w:t>12.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sk-SK"/>
        </w:rPr>
        <w:t xml:space="preserve"> </w:t>
      </w:r>
      <w:r w:rsidRPr="00931702">
        <w:rPr>
          <w:rFonts w:ascii="Times New Roman" w:hAnsi="Times New Roman" w:cs="Times New Roman"/>
          <w:b/>
          <w:sz w:val="32"/>
          <w:szCs w:val="32"/>
          <w:lang w:val="sk-SK"/>
        </w:rPr>
        <w:t>Základné práva a slobody EÚ a Charta základných práv EÚ</w:t>
      </w:r>
    </w:p>
    <w:p w:rsidR="005044A2" w:rsidRPr="005044A2" w:rsidRDefault="005044A2" w:rsidP="005044A2">
      <w:pPr>
        <w:spacing w:line="240" w:lineRule="auto"/>
        <w:rPr>
          <w:rFonts w:ascii="Times New Roman" w:hAnsi="Times New Roman" w:cs="Times New Roman"/>
          <w:b/>
          <w:lang w:val="sk-SK"/>
        </w:rPr>
      </w:pPr>
      <w:r w:rsidRPr="005044A2">
        <w:rPr>
          <w:rFonts w:ascii="Times New Roman" w:hAnsi="Times New Roman" w:cs="Times New Roman"/>
          <w:b/>
          <w:lang w:val="sk-SK"/>
        </w:rPr>
        <w:t>História:</w:t>
      </w:r>
    </w:p>
    <w:p w:rsidR="005044A2" w:rsidRPr="0093170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931702">
        <w:rPr>
          <w:rFonts w:ascii="Times New Roman" w:hAnsi="Times New Roman" w:cs="Times New Roman"/>
          <w:lang w:val="sk-SK"/>
        </w:rPr>
        <w:t>Pôvodné zakladajúce zmluvy Európskych spoločenstiev neobsahovali zmienku o ľudských právach, pretože ich autori sa domnievali, že čisto ekonomické ciele založenia Spoločenstiev sa nemohli dostať do konfliktu s ĽP. Opak bol ale pravdou</w:t>
      </w:r>
    </w:p>
    <w:p w:rsidR="005044A2" w:rsidRPr="0093170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931702">
        <w:rPr>
          <w:rFonts w:ascii="Times New Roman" w:hAnsi="Times New Roman" w:cs="Times New Roman"/>
          <w:lang w:val="sk-SK"/>
        </w:rPr>
        <w:t xml:space="preserve">Spočiatku bol Súdny dvor zdržanlivý, lebo konštatoval, že oprávnenia rozhodovať o ĽP nepatria do právomoci Spoločenstva (teraz Únie) ale do právomoci členských štátov. Tento postup vyvolal oprávnený odpor na strane ústavných súdov členských štátov, ktoré odmietli uprednostniť úniový právny priadok pred vnútroštátnym z dôvodu nedostatočnej ochrany základných práv na komunitárnej úrovni. Prvý tlak urobil nemecký súd v rozhodnutí </w:t>
      </w:r>
      <w:proofErr w:type="spellStart"/>
      <w:r w:rsidRPr="00931702">
        <w:rPr>
          <w:rFonts w:ascii="Times New Roman" w:hAnsi="Times New Roman" w:cs="Times New Roman"/>
          <w:lang w:val="sk-SK"/>
        </w:rPr>
        <w:t>Solange</w:t>
      </w:r>
      <w:proofErr w:type="spellEnd"/>
      <w:r w:rsidRPr="00931702">
        <w:rPr>
          <w:rFonts w:ascii="Times New Roman" w:hAnsi="Times New Roman" w:cs="Times New Roman"/>
          <w:lang w:val="sk-SK"/>
        </w:rPr>
        <w:t xml:space="preserve">. </w:t>
      </w:r>
    </w:p>
    <w:p w:rsidR="005044A2" w:rsidRPr="0093170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931702">
        <w:rPr>
          <w:rFonts w:ascii="Times New Roman" w:hAnsi="Times New Roman" w:cs="Times New Roman"/>
          <w:lang w:val="sk-SK"/>
        </w:rPr>
        <w:t xml:space="preserve">Preto Súdny dvor prehodnotil situáciu a uznal ĽP za účasť všeobecných zásad vtedajšieho komunitárneho práva. Následne na to ustúpil nemecký súd, ktorý v prípade </w:t>
      </w:r>
      <w:proofErr w:type="spellStart"/>
      <w:r w:rsidRPr="00931702">
        <w:rPr>
          <w:rFonts w:ascii="Times New Roman" w:hAnsi="Times New Roman" w:cs="Times New Roman"/>
          <w:lang w:val="sk-SK"/>
        </w:rPr>
        <w:t>Solange</w:t>
      </w:r>
      <w:proofErr w:type="spellEnd"/>
      <w:r w:rsidRPr="00931702">
        <w:rPr>
          <w:rFonts w:ascii="Times New Roman" w:hAnsi="Times New Roman" w:cs="Times New Roman"/>
          <w:lang w:val="sk-SK"/>
        </w:rPr>
        <w:t xml:space="preserve"> II. Konštatoval, že v budúcnosti nespochybní prednosť úniového práva, pokiaľ bude na komunitárnej úrovni dostatočným spôsobom zaručená ochrana základných práv. </w:t>
      </w:r>
    </w:p>
    <w:p w:rsidR="005044A2" w:rsidRPr="0093170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931702">
        <w:rPr>
          <w:rFonts w:ascii="Times New Roman" w:hAnsi="Times New Roman" w:cs="Times New Roman"/>
          <w:lang w:val="sk-SK"/>
        </w:rPr>
        <w:t>Neskôr bola prostredníctvom Maastrichtskej zmluvy potreba základných práv po prvýkrát premietnutá do primárneho práva- do článku 6 ods.2 ZEU: „Únia rešpektuje základné ľudské práva, ako ich zaručuje Európsky dohovor  ochrane ľudských práv a základných slobôd podpísaný v Ríme 4. novembra 1950 a ktoré vyplývajú z ústavných tradícií členských štátov ako všeobecné zásady práva Spoločenstva“.</w:t>
      </w:r>
    </w:p>
    <w:p w:rsidR="005044A2" w:rsidRPr="0093170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931702">
        <w:rPr>
          <w:rFonts w:ascii="Times New Roman" w:hAnsi="Times New Roman" w:cs="Times New Roman"/>
          <w:lang w:val="sk-SK"/>
        </w:rPr>
        <w:t xml:space="preserve">V súčasnosti došlo k ďalšiemu posunu ochrany základných práv v Únii- Lisabonská zmluva zaradila základné práva prostredníctvom Charty do primárneho práva, čím vyriešila doterajší sporný status Charty. </w:t>
      </w:r>
    </w:p>
    <w:p w:rsidR="005044A2" w:rsidRPr="0093170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</w:p>
    <w:p w:rsidR="005044A2" w:rsidRPr="005044A2" w:rsidRDefault="005044A2" w:rsidP="005044A2">
      <w:pPr>
        <w:spacing w:line="240" w:lineRule="auto"/>
        <w:rPr>
          <w:rFonts w:ascii="Times New Roman" w:hAnsi="Times New Roman" w:cs="Times New Roman"/>
          <w:b/>
          <w:u w:val="single"/>
          <w:lang w:val="sk-SK"/>
        </w:rPr>
      </w:pPr>
      <w:r w:rsidRPr="005044A2">
        <w:rPr>
          <w:rFonts w:ascii="Times New Roman" w:hAnsi="Times New Roman" w:cs="Times New Roman"/>
          <w:b/>
          <w:u w:val="single"/>
          <w:lang w:val="sk-SK"/>
        </w:rPr>
        <w:t>Charta základných práv EU:</w:t>
      </w:r>
    </w:p>
    <w:p w:rsidR="005044A2" w:rsidRPr="0093170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931702">
        <w:rPr>
          <w:rFonts w:ascii="Times New Roman" w:hAnsi="Times New Roman" w:cs="Times New Roman"/>
          <w:lang w:val="sk-SK"/>
        </w:rPr>
        <w:t>Lisabonská zmluva o EÚ zachovala podstatnú časť textu Ústavnej zmluvy. Lisabonská zmluva má v porovnaní s Ústavnou zmluvou inú štruktúru. Obsahuje zmluvu o Európskej únii a Zmluvu o fungovaní Európskej únie, na ktorých je založená Únia, pričom obe zmluvy majú rovnakú právnu silu. V zmysle ustanovenia čl. 1 Lisabonskej ZEÚ „Únia nahrádza Európske spoločenstvo a je jeho právnym nástupcom.“</w:t>
      </w:r>
    </w:p>
    <w:p w:rsidR="005044A2" w:rsidRPr="0093170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931702">
        <w:rPr>
          <w:rFonts w:ascii="Times New Roman" w:hAnsi="Times New Roman" w:cs="Times New Roman"/>
          <w:lang w:val="sk-SK"/>
        </w:rPr>
        <w:t xml:space="preserve">Charta základných práv (vyhlásená 7.12.2000) nebola začlenená priamo do textu ako to bolo v prípade Ústavnej zmluvy. </w:t>
      </w:r>
    </w:p>
    <w:p w:rsidR="005044A2" w:rsidRPr="0093170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931702">
        <w:rPr>
          <w:rFonts w:ascii="Times New Roman" w:hAnsi="Times New Roman" w:cs="Times New Roman"/>
          <w:lang w:val="sk-SK"/>
        </w:rPr>
        <w:t>Bola upravená a prijatá 12. decembra 2007 v Štrasburgu a po nadobudnutí platnosti Lisabonskej zmluvy má od 1.12.2009 rovnakú právnu silu ako obidve zmluvy schválené v Lisabone. Má právnu silu primárneho práva</w:t>
      </w:r>
    </w:p>
    <w:p w:rsidR="005044A2" w:rsidRPr="0093170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931702">
        <w:rPr>
          <w:rFonts w:ascii="Times New Roman" w:hAnsi="Times New Roman" w:cs="Times New Roman"/>
          <w:lang w:val="sk-SK"/>
        </w:rPr>
        <w:t>Politické základy prevzatia zásady dodržiavania ľudských práv a základných slobôd do práva Spoločenstiev a Únie položili viaceré dokumenty: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>Spoločná rezolúcia Parlamentu, Rady a Komisie z 5. 4. 1977,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>Deklarácia o demokracii z 8. 4. 1978,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>Memorandum Komisie o pristúpení Európskeho spoločenstva k Dohovoru o ochrane ľudských práv a základných slobôd z apríla 1979 a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>Rezolúcia Európskeho parlamentu z 12. 4. 1989, ktorá podporila túto iniciatívu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lastRenderedPageBreak/>
        <w:t xml:space="preserve">Tendencie posilniť ochranu ľudských práv občanov Únie vyústili do formulovania špecifického katalógu ľudských práv v Charte základných práv Európskej únie prijatej v roku 2000 v </w:t>
      </w:r>
      <w:proofErr w:type="spellStart"/>
      <w:r w:rsidRPr="003640B2">
        <w:rPr>
          <w:rFonts w:ascii="Times New Roman" w:hAnsi="Times New Roman" w:cs="Times New Roman"/>
          <w:lang w:val="sk-SK"/>
        </w:rPr>
        <w:t>Nice</w:t>
      </w:r>
      <w:proofErr w:type="spellEnd"/>
      <w:r w:rsidRPr="003640B2">
        <w:rPr>
          <w:rFonts w:ascii="Times New Roman" w:hAnsi="Times New Roman" w:cs="Times New Roman"/>
          <w:lang w:val="sk-SK"/>
        </w:rPr>
        <w:t>. I keď Charta bola skôr politickým programovým dokumentom, jej obsah sa stal zdrojom inšpirácie pre súdne orgány Spoločenstiev. Pôvodný text bol neskôr nahradený upraveným textom Charty, ktorú Európsky parlament, Rada a Komisia slávnostne vyhlásili 12. 12. 2007 v Štrasburgu.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Lisabonská Zmluva o EÚ posilňuje ochranu ľudských práv a slobôd tým, že v článku 6 ods. 1 výslovne „uznáva práva, slobody a zásady uvedené v Charte základných práv Európskej únie zo 7. 12. 2000 upravenej 12. 12. 2007 v Štrasburgu, ktorá má rovnakú právnu silu ako zmluvy“. Navyše v ods. 3 tohto ustanovenia stanovuje, že „základné práva tak, ako sú zaručené Európskym dohovorom o ochrane ľudských práv a základných slobôd a ako vyplývajú z ústavných tradícií spoločných pre členské štáty, predstavujú všeobecné zásady práva Únie“.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Charta základných práv obsahuje prvý katalóg základných práv a slobôd Únie. Dodržiavanie základných práv je neoddeliteľnou súčasťou všeobecných právnych zásad. Pri ochrane základných práv je Súdny dvor povinný vychádzať najmä z: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>Charty= základný prameň ochrany ĽP v EU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Okrem nej sa Súdny dvor odvoláva tiež na: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 xml:space="preserve">spoločné ústavne tradície členských štátov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 xml:space="preserve">medzinárodné dokumenty týkajúcich sa ochrany ĽP, na ktorých členské štáty spolupracovali alebo ku ktorým pristúpili- Európsky dohovor o ochrane ľudských práv a základných slobôd (EDĽS),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>iné medzinárodné dokumenty o ĽP (Medzinárodný pakt o občianskych a politických právach)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>judikatúru Súdneho dvora a Európskeho súdu pre ľudské práva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>pomocou vykladacích pravidiel pripojených k Charte (Vysvetlivky) má tento dokument zabezpečiť užívanie garantovaných základných práv všetkým občanom Únie.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ZEU: „základné práva tak, ako sú zaručené EDĽS a ako vyplývajú z ústavných tradícií spoločných pre členské štáty, predstavujú všeobecné zásady práva Únie“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Opakované odkazy na judikatúru Európskeho súdu pre ľudské práva vo Vysvetlivkách k Charte naznačujú tendenciu zjednotiť ochranu ľudských práv a slobôd v európskych štátoch a zosúladiť rozhodovaciu prax európskych súdnych orgánov pri ochrane totožných ľudských práv. Tento proces môže urýchliť aj pripravované pristúpenie Únie k Európskemu dohovoru, ktoré predpokladala už Ústavná zmluva a ktoré obsahuje článok 6 ods. 2 Lisabonskej zmluvy o EÚ s dodatkom, že tým nie sú dotknuté právomoci Únie vymedzené v zmluvách. Dodatok tak zabezpečuje autonómnosť rozhodovania súdnych orgánov EÚ.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V preambule Charty potvrdzujú členské štáty rovnaké spoločné hodnoty a všeobecné právne zásady ako v preambule Lisabonskej zmluvy o Únii, a to vo vzťahu k jednotlivcovi, občanovi Únie, ktorý sa nachádza v centre aktivít Únie a ňou vytvoreného priestoru slobody, bezpečnosti a spravodlivosti.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Základné práva a slobody v Charte: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lastRenderedPageBreak/>
        <w:t>Katalóg práv a slobôd garantovaných Chartou je omnoho rozsiahlejší ako ľudské práva a slobody chránené Európskym dohovorom. Charta zaviedla nový systém práv a slobôd, ktorému dominujú v šiestich  hlavách tohto dokumentu základné hodnoty európskej spoločnosti:</w:t>
      </w:r>
    </w:p>
    <w:p w:rsidR="005044A2" w:rsidRPr="005044A2" w:rsidRDefault="005044A2" w:rsidP="005044A2">
      <w:pPr>
        <w:spacing w:line="240" w:lineRule="auto"/>
        <w:rPr>
          <w:rFonts w:ascii="Times New Roman" w:hAnsi="Times New Roman" w:cs="Times New Roman"/>
          <w:b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</w:r>
      <w:r w:rsidRPr="005044A2">
        <w:rPr>
          <w:rFonts w:ascii="Times New Roman" w:hAnsi="Times New Roman" w:cs="Times New Roman"/>
          <w:b/>
          <w:lang w:val="sk-SK"/>
        </w:rPr>
        <w:t>Dôstojnosť</w:t>
      </w:r>
    </w:p>
    <w:p w:rsidR="005044A2" w:rsidRPr="005044A2" w:rsidRDefault="005044A2" w:rsidP="005044A2">
      <w:pPr>
        <w:spacing w:line="240" w:lineRule="auto"/>
        <w:rPr>
          <w:rFonts w:ascii="Times New Roman" w:hAnsi="Times New Roman" w:cs="Times New Roman"/>
          <w:b/>
          <w:lang w:val="sk-SK"/>
        </w:rPr>
      </w:pPr>
      <w:r w:rsidRPr="005044A2">
        <w:rPr>
          <w:rFonts w:ascii="Times New Roman" w:hAnsi="Times New Roman" w:cs="Times New Roman"/>
          <w:b/>
          <w:lang w:val="sk-SK"/>
        </w:rPr>
        <w:t>-</w:t>
      </w:r>
      <w:r w:rsidRPr="005044A2">
        <w:rPr>
          <w:rFonts w:ascii="Times New Roman" w:hAnsi="Times New Roman" w:cs="Times New Roman"/>
          <w:b/>
          <w:lang w:val="sk-SK"/>
        </w:rPr>
        <w:tab/>
        <w:t>Sloboda</w:t>
      </w:r>
    </w:p>
    <w:p w:rsidR="005044A2" w:rsidRPr="005044A2" w:rsidRDefault="005044A2" w:rsidP="005044A2">
      <w:pPr>
        <w:spacing w:line="240" w:lineRule="auto"/>
        <w:rPr>
          <w:rFonts w:ascii="Times New Roman" w:hAnsi="Times New Roman" w:cs="Times New Roman"/>
          <w:b/>
          <w:lang w:val="sk-SK"/>
        </w:rPr>
      </w:pPr>
      <w:r w:rsidRPr="005044A2">
        <w:rPr>
          <w:rFonts w:ascii="Times New Roman" w:hAnsi="Times New Roman" w:cs="Times New Roman"/>
          <w:b/>
          <w:lang w:val="sk-SK"/>
        </w:rPr>
        <w:t>-</w:t>
      </w:r>
      <w:r w:rsidRPr="005044A2">
        <w:rPr>
          <w:rFonts w:ascii="Times New Roman" w:hAnsi="Times New Roman" w:cs="Times New Roman"/>
          <w:b/>
          <w:lang w:val="sk-SK"/>
        </w:rPr>
        <w:tab/>
        <w:t>Rovnosť</w:t>
      </w:r>
    </w:p>
    <w:p w:rsidR="005044A2" w:rsidRPr="005044A2" w:rsidRDefault="005044A2" w:rsidP="005044A2">
      <w:pPr>
        <w:spacing w:line="240" w:lineRule="auto"/>
        <w:rPr>
          <w:rFonts w:ascii="Times New Roman" w:hAnsi="Times New Roman" w:cs="Times New Roman"/>
          <w:b/>
          <w:lang w:val="sk-SK"/>
        </w:rPr>
      </w:pPr>
      <w:r w:rsidRPr="005044A2">
        <w:rPr>
          <w:rFonts w:ascii="Times New Roman" w:hAnsi="Times New Roman" w:cs="Times New Roman"/>
          <w:b/>
          <w:lang w:val="sk-SK"/>
        </w:rPr>
        <w:t>-</w:t>
      </w:r>
      <w:r w:rsidRPr="005044A2">
        <w:rPr>
          <w:rFonts w:ascii="Times New Roman" w:hAnsi="Times New Roman" w:cs="Times New Roman"/>
          <w:b/>
          <w:lang w:val="sk-SK"/>
        </w:rPr>
        <w:tab/>
        <w:t>Solidarita</w:t>
      </w:r>
    </w:p>
    <w:p w:rsidR="005044A2" w:rsidRPr="005044A2" w:rsidRDefault="005044A2" w:rsidP="005044A2">
      <w:pPr>
        <w:spacing w:line="240" w:lineRule="auto"/>
        <w:rPr>
          <w:rFonts w:ascii="Times New Roman" w:hAnsi="Times New Roman" w:cs="Times New Roman"/>
          <w:b/>
          <w:lang w:val="sk-SK"/>
        </w:rPr>
      </w:pPr>
      <w:r w:rsidRPr="005044A2">
        <w:rPr>
          <w:rFonts w:ascii="Times New Roman" w:hAnsi="Times New Roman" w:cs="Times New Roman"/>
          <w:b/>
          <w:lang w:val="sk-SK"/>
        </w:rPr>
        <w:t>-</w:t>
      </w:r>
      <w:r w:rsidRPr="005044A2">
        <w:rPr>
          <w:rFonts w:ascii="Times New Roman" w:hAnsi="Times New Roman" w:cs="Times New Roman"/>
          <w:b/>
          <w:lang w:val="sk-SK"/>
        </w:rPr>
        <w:tab/>
        <w:t>Občianstvo</w:t>
      </w:r>
    </w:p>
    <w:p w:rsidR="005044A2" w:rsidRPr="005044A2" w:rsidRDefault="005044A2" w:rsidP="005044A2">
      <w:pPr>
        <w:spacing w:line="240" w:lineRule="auto"/>
        <w:rPr>
          <w:rFonts w:ascii="Times New Roman" w:hAnsi="Times New Roman" w:cs="Times New Roman"/>
          <w:b/>
          <w:lang w:val="sk-SK"/>
        </w:rPr>
      </w:pPr>
      <w:r w:rsidRPr="005044A2">
        <w:rPr>
          <w:rFonts w:ascii="Times New Roman" w:hAnsi="Times New Roman" w:cs="Times New Roman"/>
          <w:b/>
          <w:lang w:val="sk-SK"/>
        </w:rPr>
        <w:t>-</w:t>
      </w:r>
      <w:r w:rsidRPr="005044A2">
        <w:rPr>
          <w:rFonts w:ascii="Times New Roman" w:hAnsi="Times New Roman" w:cs="Times New Roman"/>
          <w:b/>
          <w:lang w:val="sk-SK"/>
        </w:rPr>
        <w:tab/>
        <w:t>Spravodlivosť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Obsahujú tri kategórie práv a slobôd: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1)</w:t>
      </w:r>
      <w:r w:rsidRPr="003640B2">
        <w:rPr>
          <w:rFonts w:ascii="Times New Roman" w:hAnsi="Times New Roman" w:cs="Times New Roman"/>
          <w:lang w:val="sk-SK"/>
        </w:rPr>
        <w:tab/>
        <w:t>Základné všeobecne uznané práva – na život, ľudskú dôstojnosť, na osobitnú slobodu a integritu, tak ako ich poznáme z Európskeho dohovoru o ľudských právach;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2)</w:t>
      </w:r>
      <w:r w:rsidRPr="003640B2">
        <w:rPr>
          <w:rFonts w:ascii="Times New Roman" w:hAnsi="Times New Roman" w:cs="Times New Roman"/>
          <w:lang w:val="sk-SK"/>
        </w:rPr>
        <w:tab/>
        <w:t xml:space="preserve">Občianske a politické práva spojené s občianstvom Únie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3)</w:t>
      </w:r>
      <w:r w:rsidRPr="003640B2">
        <w:rPr>
          <w:rFonts w:ascii="Times New Roman" w:hAnsi="Times New Roman" w:cs="Times New Roman"/>
          <w:lang w:val="sk-SK"/>
        </w:rPr>
        <w:tab/>
        <w:t>Hospodárske a sociálne práva.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 xml:space="preserve">Charta zaručuje ochranu aj novo koncipovaným osobnostným právam spojeným s medicínskym a biologickým pokrokom a zakazuje eugenické praktiky, najmä tie, ktoré sú zamerané na selekciu osôb, využívanie ľudského tela a jeho častí ako zdroja zisku a reprodukčné klonovanie ľudských bytostí.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V preambule Charty sa uvádza, že súdy Únie a členských štátov budú vykladať túto Chartu so zreteľom na Vysvetlivky k Charte ľudských práv schválených spolu s textom Charty: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Vysvetlivky sú dôležitou interpretačnou pomôckou. Predstavujú komentár k jednotlivým článkom Charty upravujúcim práva a slobody z hľadiska toho, či obsah práva garantovaného Chartou zodpovedá ustanoveniam relevantných článkov EDĽP a jeho protokolov, či má toto práva alebo sloboda rovnaký význam a rozsah, aký má v zmysle EDĽP a judikatúry EDĽP a v ktorej časti je jeho rozsah širší vzhľadom na právo Únie a judikatúru SD. V článkoch o nových právach a slobodách zakotvených v Charte odkazujú Vysvetlivky priamo na zmluvné ustanovenia a judikatúru SD, na ktorých sa zakladá toto právo alebo sloboda, judikáty alebo na relevantnú medzinárodnú zmluvu.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Usporiadanie Charty: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 xml:space="preserve">Základné práva a slobody zakotvené v Charte vyjadrujú novú koncepciu odlišujúcu sa od tradičnej hierarchie základných práv a slobôd ako ich poznáme z medzinárodnoprávnych a ústavných dokumentov. Práva a slobody začlenené pod určitú hlavu spája jedna zo základných hodnôt Únie (sloboda, dôstojnosť, rovnosť,..).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Rozsah práv a slobôd garantovaných Chartou jednoznačne presahuje katalóg základných práv a slobôd zaručených EDĽP v rozsahu judikatúry ESĽP.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</w:p>
    <w:p w:rsidR="005044A2" w:rsidRPr="005044A2" w:rsidRDefault="005044A2" w:rsidP="005044A2">
      <w:pPr>
        <w:spacing w:line="240" w:lineRule="auto"/>
        <w:rPr>
          <w:rFonts w:ascii="Times New Roman" w:hAnsi="Times New Roman" w:cs="Times New Roman"/>
          <w:b/>
          <w:lang w:val="sk-SK"/>
        </w:rPr>
      </w:pPr>
      <w:r w:rsidRPr="005044A2">
        <w:rPr>
          <w:rFonts w:ascii="Times New Roman" w:hAnsi="Times New Roman" w:cs="Times New Roman"/>
          <w:b/>
          <w:lang w:val="sk-SK"/>
        </w:rPr>
        <w:t xml:space="preserve"> I. hlava – Dôstojnosť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lastRenderedPageBreak/>
        <w:t>- sú v nej zakotvené neodňateľné ľudské práva s odkazom na preambulu Všeobecnej deklarácie ľudských práv z roku 1848, v zmysle ktorej „...uznanie ľudskej dôstojnosti a rovnakých neodňateľných práv všetkých členov ľudskej rodiny je základom slobody, spravodlivosti a mieru vo svete“.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K všeobecne uznaným právam tejto kategórie patria: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 právo na život a zákaz trestu smrti, právo na život, právo na nedotknuteľnosť osoby, zákaz mučenia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 xml:space="preserve"> a neľudského zaobchádzania alebo trestu, zákaz otroctva a nútených prác a zákaz obchodovania s ľudskými bytosťami.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 väčšina práv tejto časti má  identické alebo analogické znenie a svojim významom a rozsahom zodpovedá ustanoveniam EDĽP a jeho protokolov.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</w:p>
    <w:p w:rsidR="005044A2" w:rsidRPr="005044A2" w:rsidRDefault="005044A2" w:rsidP="005044A2">
      <w:pPr>
        <w:spacing w:line="240" w:lineRule="auto"/>
        <w:rPr>
          <w:rFonts w:ascii="Times New Roman" w:hAnsi="Times New Roman" w:cs="Times New Roman"/>
          <w:b/>
          <w:lang w:val="sk-SK"/>
        </w:rPr>
      </w:pPr>
      <w:r w:rsidRPr="005044A2">
        <w:rPr>
          <w:rFonts w:ascii="Times New Roman" w:hAnsi="Times New Roman" w:cs="Times New Roman"/>
          <w:b/>
          <w:lang w:val="sk-SK"/>
        </w:rPr>
        <w:t xml:space="preserve">II. hlava – Slobody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 xml:space="preserve">-patrí sem: právo na slobodu a bezpečnosť, rešpektovanie súkromného a rodinného života, ochrana osobných údajov, právo uzavrieť manželstvo a právo založiť rodinu, sloboda myslenia, svedomia a </w:t>
      </w:r>
      <w:proofErr w:type="spellStart"/>
      <w:r w:rsidRPr="003640B2">
        <w:rPr>
          <w:rFonts w:ascii="Times New Roman" w:hAnsi="Times New Roman" w:cs="Times New Roman"/>
          <w:lang w:val="sk-SK"/>
        </w:rPr>
        <w:t>náb.vyznania</w:t>
      </w:r>
      <w:proofErr w:type="spellEnd"/>
      <w:r w:rsidRPr="003640B2">
        <w:rPr>
          <w:rFonts w:ascii="Times New Roman" w:hAnsi="Times New Roman" w:cs="Times New Roman"/>
          <w:lang w:val="sk-SK"/>
        </w:rPr>
        <w:t xml:space="preserve">, sloboda prejavu a právo na informácie, sloboda zhromažďovania a združovania, sloboda umenia a vedeckého bádania, právo na vzdelanie, právo na prácu a slobodnú voľbu povolania, vlastnícke právo, právo na azyl, ochrana v prípade vysťahovania, vyhostenia alebo </w:t>
      </w:r>
      <w:proofErr w:type="spellStart"/>
      <w:r w:rsidRPr="003640B2">
        <w:rPr>
          <w:rFonts w:ascii="Times New Roman" w:hAnsi="Times New Roman" w:cs="Times New Roman"/>
          <w:lang w:val="sk-SK"/>
        </w:rPr>
        <w:t>extradície</w:t>
      </w:r>
      <w:proofErr w:type="spellEnd"/>
      <w:r w:rsidRPr="003640B2">
        <w:rPr>
          <w:rFonts w:ascii="Times New Roman" w:hAnsi="Times New Roman" w:cs="Times New Roman"/>
          <w:lang w:val="sk-SK"/>
        </w:rPr>
        <w:t xml:space="preserve"> 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 xml:space="preserve">- upravuje početné práva a slobody garantované v článku 5, 6, 7, 10, 11, 12 EDĽP s identickým významom a rozsahom.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 právo uzavrieť manželstvo a právo založiť rodinu môže mať širší rozsah, pretože reflektuje vývoj vnútroštátnej úpravy v niektorých členských štátoch Únie, ktorá uznáva iné spôsoby založenia rodiny ako manželstvo.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 rovnaký význam, ale širší rozsah ako článok 11 v EDĽP majú ustanovenia článku 12ods. 1 Charty o slobode zhromažďovania, keďže sa môžu uplatňovať na európskej úrovni a prihliadajú aj na Chartu základných práv pracovníkov Spoločenstva z r. 1989. Podobne právo na vzdelanie obsahuje prístup k odbornému vzdelávaniu a príprave a ďalšiemu vzdelávaniu a rešpektuje zásadu bezplatného povinného vzdelania. (voľný pohyb osôb)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Slobodná voľba povolania a právo pracovať sú nové práva, uznané judikatúrou SD a založené na Európskej sociálnej charte z r. 1961 ratifikovanej všetkými členskými štátmi Únie, na Charte základných sociálnych práv pracovníkov Spoločenstiev. Na tieto práva nadväzuje sloboda podnikať a slobody zakotvené v Zmluve o fungovaní EÚ o voľnom pohybe pracovníkov, slobode usadiť sa a o voľnom pohybe služieb.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Úprava vlastníckeho práva zodpovedá článku 1 Protokolu č. 1 k EDĽP. Toto právo bolo opakovane potvrdené judikatúrou SD a v modernom ponímaní zahŕňa aj ochranu duševného vlastníctva.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</w:p>
    <w:p w:rsidR="005044A2" w:rsidRPr="005044A2" w:rsidRDefault="005044A2" w:rsidP="005044A2">
      <w:pPr>
        <w:spacing w:line="240" w:lineRule="auto"/>
        <w:rPr>
          <w:rFonts w:ascii="Times New Roman" w:hAnsi="Times New Roman" w:cs="Times New Roman"/>
          <w:b/>
          <w:lang w:val="sk-SK"/>
        </w:rPr>
      </w:pPr>
      <w:r w:rsidRPr="005044A2">
        <w:rPr>
          <w:rFonts w:ascii="Times New Roman" w:hAnsi="Times New Roman" w:cs="Times New Roman"/>
          <w:b/>
          <w:lang w:val="sk-SK"/>
        </w:rPr>
        <w:t xml:space="preserve">III. hlava – Rovnosť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 xml:space="preserve">- obsahuje úpravu tohto spoločného ústavného princípu európskych demokratických štátov a základnej zásady práva Únie, potvrdenej judikatúrou SD. V jej kontexte je v článku 21 zakotvený zákaz akejkoľvek diskriminácie zo všeobecne známych dôvodov vrátane genetických vlastností. Zákaz diskriminácie zaväzuje inštitúcie a orgány  Únie pri výkone ich právomocí, ktoré im zverujú zmluvy a členské štáty a </w:t>
      </w:r>
      <w:r w:rsidRPr="003640B2">
        <w:rPr>
          <w:rFonts w:ascii="Times New Roman" w:hAnsi="Times New Roman" w:cs="Times New Roman"/>
          <w:lang w:val="sk-SK"/>
        </w:rPr>
        <w:lastRenderedPageBreak/>
        <w:t xml:space="preserve">zahŕňa aj rovnosť medzi ženami a mužmi v zmysle zásady rovnakého zaobchádzania medzi nimi v prístupe k zamestnaniu, odbornej príprave a postupu v zamestnaní a pracovných podmienkach. umožňuje zachovať a prijímať opatrenia, ktoré ustanovujú osobitné výhody v prospech menej zastúpeného pohlavia.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Patrí sem:  rovnosť pred zákonom, nediskriminácia, kultúrna, náboženská a jazyková rozmanitosť (Charta rešpektuje kultúrnu, náboženskú a jazykovú rozmanitosť), rovnosť medzi ženami a mužmi, v článkoch 24 – 26 garantuje práva špecifickým kategóriám osôb- práva dieťaťa, práva starších osôb, integrácia osôb so zdravotným postihnutím  (práva dieťaťa sú v Charte upravené v súlade s ochranou najlepších záujmov dieťaťa a Newyorským dohovorom o právach dieťaťa z roku 1989. Charta garantuje práva starších osôb na účasť na spoločenskom živote a integráciu osôb so zdravotným postihnutím)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</w:p>
    <w:p w:rsidR="005044A2" w:rsidRPr="005044A2" w:rsidRDefault="005044A2" w:rsidP="005044A2">
      <w:pPr>
        <w:spacing w:line="240" w:lineRule="auto"/>
        <w:rPr>
          <w:rFonts w:ascii="Times New Roman" w:hAnsi="Times New Roman" w:cs="Times New Roman"/>
          <w:b/>
          <w:lang w:val="sk-SK"/>
        </w:rPr>
      </w:pPr>
      <w:r w:rsidRPr="005044A2">
        <w:rPr>
          <w:rFonts w:ascii="Times New Roman" w:hAnsi="Times New Roman" w:cs="Times New Roman"/>
          <w:b/>
          <w:lang w:val="sk-SK"/>
        </w:rPr>
        <w:t xml:space="preserve">IV. hlava – Solidarita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 základ hospodárskych a sociálnych práv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 právo pracovníkov na informácie a konzultácie v rámci podniku upravujú viaceré legislatívne akty  Únie. Ochrana materstva a pracovné podmienky žien sú založené na ustanoveniach Európskej sociálnej Charty a smerniciach 92/85/EHS o zavedení opatrení na zlepšenie bezpečnosti a ochrany zdravia pri práci tehotných pracovníčok a pracovníčok krátko po pôrode alebo dojčiacich pracovníčok a 96/34/ES o rámcovej dohode o rodičovskej dovolenke.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 xml:space="preserve">- v článku 34 sa upravuje sociálne zabezpečenie a sociálna pomoc- Únia uznáva a rešpektuje sociálnu pomoc a pomoc pri bývaní s cieľom zabezpečiť dôstojnú existenciu všetkým, ktorí nemajú dostatok prostriedkov, v súlade s právom Únie a vnútroštátnymi predpismi. Na rozsah zdravotnej starostlivosti a prístup k službám všeobecného verejného záujmu sa vzťahujú vnútroštátne predpisy, ktoré musia byť v súlade s politikami Únie.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-programovými právami sú- práva pri ochrane a zlepšovaní kvality životného prostredia a ochrana spotrebiteľa.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 xml:space="preserve">- ďalej sem patria- ochrana v prípade bezdôvodného prepustenia, právo na kolektívne vyjednávania a kolektívne akcie, právo na prístup k službám zamestnanosti, spravodlivé a primerané pracovné podmienky, zákaz detskej práce a ochrana mladistvých pri práci, zdravotná starostlivosť,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</w:p>
    <w:p w:rsidR="005044A2" w:rsidRPr="005044A2" w:rsidRDefault="005044A2" w:rsidP="005044A2">
      <w:pPr>
        <w:spacing w:line="240" w:lineRule="auto"/>
        <w:rPr>
          <w:rFonts w:ascii="Times New Roman" w:hAnsi="Times New Roman" w:cs="Times New Roman"/>
          <w:b/>
          <w:lang w:val="sk-SK"/>
        </w:rPr>
      </w:pPr>
      <w:r w:rsidRPr="005044A2">
        <w:rPr>
          <w:rFonts w:ascii="Times New Roman" w:hAnsi="Times New Roman" w:cs="Times New Roman"/>
          <w:b/>
          <w:lang w:val="sk-SK"/>
        </w:rPr>
        <w:t>V. hlava – Občianstvo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 zakotvuje práva, ktoré priznávajú ZEU a ZFEU na základe občianstva Únie každému občanovi členského štátu Únie: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 xml:space="preserve">právo voliť a byť volený do Európskeho parlamentu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>právo voliť a byť volený do orgánov samosprávy obcí,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>právo každej fyzickej alebo právnickej osobe, ktorá má bydlisko alebo sídlo v členskom štáte, na prístup k dokumentom inštitúcií, orgánov a úradov bez ohľadu na formu dokumentu v súlade s nariadením č. 1049/2001/ES,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>právo oznámiť európskemu ochrancovi práv prípady nesprávneho úradného postupu inštitúcií, orgánov, úradov a agentúr, s výnimkou Súdneho dvora EÚ v rámci výkonu jeho právomocí,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lastRenderedPageBreak/>
        <w:t>-</w:t>
      </w:r>
      <w:r w:rsidRPr="003640B2">
        <w:rPr>
          <w:rFonts w:ascii="Times New Roman" w:hAnsi="Times New Roman" w:cs="Times New Roman"/>
          <w:lang w:val="sk-SK"/>
        </w:rPr>
        <w:tab/>
        <w:t>petičné právo,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>slobodu pohybu a pobytu, zaručenú zmluvnými ustanoveniami,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>právo na diplomatickú a konzulárnu ochranu,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 xml:space="preserve">právo na náhradu škody spôsobenej inštitúciami alebo zamestnancami pri výkone ich funkcií v súlade so všeobecnými zásadami spoločnými pre právo členských štátov a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</w:t>
      </w:r>
      <w:r w:rsidRPr="003640B2">
        <w:rPr>
          <w:rFonts w:ascii="Times New Roman" w:hAnsi="Times New Roman" w:cs="Times New Roman"/>
          <w:lang w:val="sk-SK"/>
        </w:rPr>
        <w:tab/>
        <w:t>právo komunikovať s inštitúciami Únie v jednom z jazykov zmlúv.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 xml:space="preserve">Práva občanov Únie sú v článku 41 Charty rozšírené nad rámec zmluvných ustanovení o právo na dobrú správu vecí verejných, ktoré zahŕňa právo každého na nestranné a spravodlivé vybavenie  jeho vecí v primeranej lehote, právo na vypočutie pred prijatím individuálneho opatrenia, ktoré by sa mohlo nepriaznivo dotýkať, právo na prístup k spisu, ktorý sa ho týka, rešpektujúc záujmy dôvernosti, služobného a obchodného tajomstva a povinnosť administratívy odôvodniť svoje rozhodnutia.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-podľa vysvetliviek sa toto právo zakladá na existencii Únie a na zásade právneho štátu rozvinuté v judikatúre súdnych orgánov Únie a na princípoch otvorenej, efektívnej a nezávislej európskej administratívy.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</w:p>
    <w:p w:rsidR="005044A2" w:rsidRPr="005044A2" w:rsidRDefault="005044A2" w:rsidP="005044A2">
      <w:pPr>
        <w:spacing w:line="240" w:lineRule="auto"/>
        <w:rPr>
          <w:rFonts w:ascii="Times New Roman" w:hAnsi="Times New Roman" w:cs="Times New Roman"/>
          <w:b/>
          <w:lang w:val="sk-SK"/>
        </w:rPr>
      </w:pPr>
      <w:r w:rsidRPr="005044A2">
        <w:rPr>
          <w:rFonts w:ascii="Times New Roman" w:hAnsi="Times New Roman" w:cs="Times New Roman"/>
          <w:b/>
          <w:lang w:val="sk-SK"/>
        </w:rPr>
        <w:t xml:space="preserve">VI. hlava – Spravodlivosť 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 sumarizuje procesné záruky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 právo na účinný prostriedok nápravy pred súdom a právo na spravodlivý proces.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- rozsah týchto práv je širší ako v EDĽP, pretože sa netýka len občianskych práv a povinností. V súlade s judikatúrou ESĽP je garantované aj právo na poskytnutie právnej pomoci osobám, ktoré nemajú dostatočné prostriedky, ak je takáto pomoc potrebná na zabezpečenie efektívneho prístupu k spravodlivosti.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 xml:space="preserve">- Ostatné procesné práva v tejto časti Charty – prezumpcia neviny, právo na obhajobu, ne </w:t>
      </w:r>
      <w:proofErr w:type="spellStart"/>
      <w:r w:rsidRPr="003640B2">
        <w:rPr>
          <w:rFonts w:ascii="Times New Roman" w:hAnsi="Times New Roman" w:cs="Times New Roman"/>
          <w:lang w:val="sk-SK"/>
        </w:rPr>
        <w:t>bis</w:t>
      </w:r>
      <w:proofErr w:type="spellEnd"/>
      <w:r w:rsidRPr="003640B2">
        <w:rPr>
          <w:rFonts w:ascii="Times New Roman" w:hAnsi="Times New Roman" w:cs="Times New Roman"/>
          <w:lang w:val="sk-SK"/>
        </w:rPr>
        <w:t xml:space="preserve"> in idem, zásada zákonnosti a primeranosti trestných činov a trestov-  majú rovnaký význam a rozsah pôsobnosti ako zodpovedajúce práva EDĽP. Navyše je doplnená zásada zákazu retroaktivity zákonov a trestov o princíp miernejšieho trestu a potvrdzuje sa všeobecná zásada ne </w:t>
      </w:r>
      <w:proofErr w:type="spellStart"/>
      <w:r w:rsidRPr="003640B2">
        <w:rPr>
          <w:rFonts w:ascii="Times New Roman" w:hAnsi="Times New Roman" w:cs="Times New Roman"/>
          <w:lang w:val="sk-SK"/>
        </w:rPr>
        <w:t>bis</w:t>
      </w:r>
      <w:proofErr w:type="spellEnd"/>
      <w:r w:rsidRPr="003640B2">
        <w:rPr>
          <w:rFonts w:ascii="Times New Roman" w:hAnsi="Times New Roman" w:cs="Times New Roman"/>
          <w:lang w:val="sk-SK"/>
        </w:rPr>
        <w:t xml:space="preserve"> in idem v práve Únie aj odkazom na relevantné judikáty SD s výnimkami v zmysle dohovoru o boji proti korupcii.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Záver: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>Osobitný význam majú záverečné Všeobecné ustanovenia vysvetliviek , upravujúce výklad a uplatňovanie Charty. K týmto článkom sa počas koncipovania textu Charty viedli zložité odborné diskusie.</w:t>
      </w:r>
    </w:p>
    <w:p w:rsidR="005044A2" w:rsidRPr="003640B2" w:rsidRDefault="005044A2" w:rsidP="005044A2">
      <w:pPr>
        <w:spacing w:line="240" w:lineRule="auto"/>
        <w:rPr>
          <w:rFonts w:ascii="Times New Roman" w:hAnsi="Times New Roman" w:cs="Times New Roman"/>
          <w:lang w:val="sk-SK"/>
        </w:rPr>
      </w:pPr>
      <w:r w:rsidRPr="003640B2">
        <w:rPr>
          <w:rFonts w:ascii="Times New Roman" w:hAnsi="Times New Roman" w:cs="Times New Roman"/>
          <w:lang w:val="sk-SK"/>
        </w:rPr>
        <w:t xml:space="preserve">V závere sa uvádza, že uplatňovanie týchto práv zahŕňa zodpovednosť a povinnosti vo vzťahu k iným osobám, skupinám ľudí a budúcim generáciám.  </w:t>
      </w:r>
    </w:p>
    <w:p w:rsidR="005044A2" w:rsidRDefault="005044A2" w:rsidP="005044A2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6601B7" w:rsidRDefault="006601B7" w:rsidP="006601B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sectPr w:rsidR="006601B7" w:rsidSect="00923C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CC6"/>
    <w:multiLevelType w:val="hybridMultilevel"/>
    <w:tmpl w:val="61DE1A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23072"/>
    <w:multiLevelType w:val="hybridMultilevel"/>
    <w:tmpl w:val="9BFA47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6690"/>
    <w:multiLevelType w:val="hybridMultilevel"/>
    <w:tmpl w:val="CB0AF98A"/>
    <w:lvl w:ilvl="0" w:tplc="A3581A5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6585F"/>
    <w:multiLevelType w:val="hybridMultilevel"/>
    <w:tmpl w:val="DF961240"/>
    <w:lvl w:ilvl="0" w:tplc="A3581A5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33E8D"/>
    <w:multiLevelType w:val="hybridMultilevel"/>
    <w:tmpl w:val="C72C571A"/>
    <w:lvl w:ilvl="0" w:tplc="A3581A5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210FE"/>
    <w:multiLevelType w:val="hybridMultilevel"/>
    <w:tmpl w:val="265E6310"/>
    <w:lvl w:ilvl="0" w:tplc="A3581A5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177"/>
    <w:rsid w:val="005044A2"/>
    <w:rsid w:val="00641B7D"/>
    <w:rsid w:val="006601B7"/>
    <w:rsid w:val="00702177"/>
    <w:rsid w:val="00842CD9"/>
    <w:rsid w:val="008921F0"/>
    <w:rsid w:val="009F01D2"/>
    <w:rsid w:val="00C90EBD"/>
    <w:rsid w:val="00CF1081"/>
    <w:rsid w:val="00F23677"/>
    <w:rsid w:val="00F7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44A2"/>
    <w:pPr>
      <w:spacing w:line="276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1081"/>
    <w:pPr>
      <w:spacing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4A24-D258-402B-A3F7-6D5A5BE6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2208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</dc:creator>
  <cp:lastModifiedBy>laco</cp:lastModifiedBy>
  <cp:revision>3</cp:revision>
  <dcterms:created xsi:type="dcterms:W3CDTF">2012-04-23T12:45:00Z</dcterms:created>
  <dcterms:modified xsi:type="dcterms:W3CDTF">2012-04-23T13:51:00Z</dcterms:modified>
</cp:coreProperties>
</file>