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E7" w:rsidRPr="00E74EDB" w:rsidRDefault="00C33A2B" w:rsidP="00BD26E7">
      <w:pPr>
        <w:widowControl w:val="0"/>
        <w:autoSpaceDE w:val="0"/>
        <w:autoSpaceDN w:val="0"/>
        <w:adjustRightInd w:val="0"/>
        <w:spacing w:after="0" w:line="238" w:lineRule="auto"/>
        <w:ind w:right="960"/>
        <w:jc w:val="both"/>
        <w:rPr>
          <w:rFonts w:ascii="Tahoma" w:hAnsi="Tahoma" w:cs="Tahoma"/>
          <w:b/>
          <w:w w:val="111"/>
        </w:rPr>
      </w:pPr>
      <w:r>
        <w:rPr>
          <w:rFonts w:ascii="Tahoma" w:hAnsi="Tahoma" w:cs="Tahoma"/>
          <w:b/>
          <w:w w:val="111"/>
        </w:rPr>
        <w:t>8</w:t>
      </w:r>
      <w:r w:rsidR="00E74EDB" w:rsidRPr="00E74EDB">
        <w:rPr>
          <w:rFonts w:ascii="Tahoma" w:hAnsi="Tahoma" w:cs="Tahoma"/>
          <w:b/>
          <w:w w:val="111"/>
        </w:rPr>
        <w:t xml:space="preserve">. </w:t>
      </w:r>
      <w:r>
        <w:rPr>
          <w:rFonts w:ascii="Tahoma" w:hAnsi="Tahoma" w:cs="Tahoma"/>
          <w:b/>
          <w:w w:val="111"/>
        </w:rPr>
        <w:t>Právomoci a zloženie RE, spôsoby uznášania</w:t>
      </w:r>
    </w:p>
    <w:p w:rsidR="00E74EDB" w:rsidRPr="00147812" w:rsidRDefault="00C33A2B" w:rsidP="00BD26E7">
      <w:pPr>
        <w:widowControl w:val="0"/>
        <w:autoSpaceDE w:val="0"/>
        <w:autoSpaceDN w:val="0"/>
        <w:adjustRightInd w:val="0"/>
        <w:spacing w:after="0" w:line="238" w:lineRule="auto"/>
        <w:ind w:right="960"/>
        <w:jc w:val="both"/>
        <w:rPr>
          <w:rFonts w:ascii="Arial Narrow" w:hAnsi="Arial Narrow" w:cs="Times New Roman"/>
          <w:w w:val="111"/>
        </w:rPr>
      </w:pPr>
      <w:r>
        <w:rPr>
          <w:rFonts w:ascii="Arial Narrow" w:hAnsi="Arial Narrow" w:cs="Times New Roman"/>
          <w:w w:val="111"/>
        </w:rPr>
        <w:t xml:space="preserve">Podklad – </w:t>
      </w:r>
      <w:proofErr w:type="spellStart"/>
      <w:r>
        <w:rPr>
          <w:rFonts w:ascii="Arial Narrow" w:hAnsi="Arial Narrow" w:cs="Times New Roman"/>
          <w:w w:val="111"/>
        </w:rPr>
        <w:t>Siman</w:t>
      </w:r>
      <w:proofErr w:type="spellEnd"/>
      <w:r>
        <w:rPr>
          <w:rFonts w:ascii="Arial Narrow" w:hAnsi="Arial Narrow" w:cs="Times New Roman"/>
          <w:w w:val="111"/>
        </w:rPr>
        <w:t xml:space="preserve">, </w:t>
      </w:r>
      <w:proofErr w:type="spellStart"/>
      <w:r>
        <w:rPr>
          <w:rFonts w:ascii="Arial Narrow" w:hAnsi="Arial Narrow" w:cs="Times New Roman"/>
          <w:w w:val="111"/>
        </w:rPr>
        <w:t>Slašťan</w:t>
      </w:r>
      <w:proofErr w:type="spellEnd"/>
      <w:r>
        <w:rPr>
          <w:rFonts w:ascii="Arial Narrow" w:hAnsi="Arial Narrow" w:cs="Times New Roman"/>
          <w:w w:val="111"/>
        </w:rPr>
        <w:t xml:space="preserve"> – Právo EÚ, 2012</w:t>
      </w:r>
    </w:p>
    <w:p w:rsidR="00E74EDB" w:rsidRDefault="00E74EDB" w:rsidP="00BD26E7">
      <w:pPr>
        <w:widowControl w:val="0"/>
        <w:autoSpaceDE w:val="0"/>
        <w:autoSpaceDN w:val="0"/>
        <w:adjustRightInd w:val="0"/>
        <w:spacing w:after="0" w:line="238" w:lineRule="auto"/>
        <w:ind w:right="960"/>
        <w:jc w:val="both"/>
        <w:rPr>
          <w:rFonts w:ascii="Arial Narrow" w:hAnsi="Arial Narrow" w:cs="Times New Roman"/>
          <w:w w:val="111"/>
          <w:sz w:val="10"/>
          <w:szCs w:val="10"/>
        </w:rPr>
      </w:pPr>
    </w:p>
    <w:p w:rsidR="00313E01" w:rsidRPr="003E0390" w:rsidRDefault="00313E01"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Inštitucionálny systém EÚ tvoria inštitúcie, orgány, úrady a agentúry Únie. Rada patrí medzi inštitúcie.</w:t>
      </w:r>
    </w:p>
    <w:p w:rsidR="00313E01" w:rsidRPr="003E0390" w:rsidRDefault="00313E01"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Rada sa skladá z jedného splnomocneného zástupcu každého členského štátu na ministerskej úrovni, ktorý môže zaväzovať vládu príslušného členského štátu a hlasovať za ňu. Tzv. „rada ministrov“.</w:t>
      </w:r>
    </w:p>
    <w:p w:rsidR="00313E01" w:rsidRPr="003E0390" w:rsidRDefault="00313E01"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Rada zasadá v desiatich rôznych zloženiach podľa oblasti, ktorou sa zaoberá. Zloženie Rady pre všeobecné záležitosti a pre </w:t>
      </w:r>
      <w:proofErr w:type="spellStart"/>
      <w:r w:rsidRPr="003E0390">
        <w:rPr>
          <w:rFonts w:ascii="Arial Narrow" w:hAnsi="Arial Narrow" w:cs="Times New Roman"/>
          <w:w w:val="111"/>
          <w:sz w:val="23"/>
          <w:szCs w:val="23"/>
        </w:rPr>
        <w:t>zahr.veci</w:t>
      </w:r>
      <w:proofErr w:type="spellEnd"/>
      <w:r w:rsidRPr="003E0390">
        <w:rPr>
          <w:rFonts w:ascii="Arial Narrow" w:hAnsi="Arial Narrow" w:cs="Times New Roman"/>
          <w:w w:val="111"/>
          <w:sz w:val="23"/>
          <w:szCs w:val="23"/>
        </w:rPr>
        <w:t xml:space="preserve"> boli zriadené zakladajúcimi zmluvami. O zriadení ostatných zložení rozhoduje E</w:t>
      </w:r>
      <w:r w:rsidR="006117C8" w:rsidRPr="003E0390">
        <w:rPr>
          <w:rFonts w:ascii="Arial Narrow" w:hAnsi="Arial Narrow" w:cs="Times New Roman"/>
          <w:w w:val="111"/>
          <w:sz w:val="23"/>
          <w:szCs w:val="23"/>
        </w:rPr>
        <w:t>urópska Rada (E</w:t>
      </w:r>
      <w:r w:rsidRPr="003E0390">
        <w:rPr>
          <w:rFonts w:ascii="Arial Narrow" w:hAnsi="Arial Narrow" w:cs="Times New Roman"/>
          <w:w w:val="111"/>
          <w:sz w:val="23"/>
          <w:szCs w:val="23"/>
        </w:rPr>
        <w:t>R</w:t>
      </w:r>
      <w:r w:rsidR="006117C8" w:rsidRPr="003E0390">
        <w:rPr>
          <w:rFonts w:ascii="Arial Narrow" w:hAnsi="Arial Narrow" w:cs="Times New Roman"/>
          <w:w w:val="111"/>
          <w:sz w:val="23"/>
          <w:szCs w:val="23"/>
        </w:rPr>
        <w:t>)</w:t>
      </w:r>
      <w:r w:rsidRPr="003E0390">
        <w:rPr>
          <w:rFonts w:ascii="Arial Narrow" w:hAnsi="Arial Narrow" w:cs="Times New Roman"/>
          <w:w w:val="111"/>
          <w:sz w:val="23"/>
          <w:szCs w:val="23"/>
        </w:rPr>
        <w:t xml:space="preserve"> kvalifikovanou väčšinou.</w:t>
      </w:r>
    </w:p>
    <w:p w:rsidR="00313E01" w:rsidRPr="003E0390" w:rsidRDefault="00313E01"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b/>
          <w:w w:val="111"/>
          <w:sz w:val="23"/>
          <w:szCs w:val="23"/>
        </w:rPr>
        <w:t>Rada pre všeobecné záležitosti</w:t>
      </w:r>
      <w:r w:rsidRPr="003E0390">
        <w:rPr>
          <w:rFonts w:ascii="Arial Narrow" w:hAnsi="Arial Narrow" w:cs="Times New Roman"/>
          <w:w w:val="111"/>
          <w:sz w:val="23"/>
          <w:szCs w:val="23"/>
        </w:rPr>
        <w:t>, ktorej členmi sú národní ministri ZV alebo ministri pre eur</w:t>
      </w:r>
      <w:r w:rsidR="006117C8" w:rsidRPr="003E0390">
        <w:rPr>
          <w:rFonts w:ascii="Arial Narrow" w:hAnsi="Arial Narrow" w:cs="Times New Roman"/>
          <w:w w:val="111"/>
          <w:sz w:val="23"/>
          <w:szCs w:val="23"/>
        </w:rPr>
        <w:t>ó</w:t>
      </w:r>
      <w:r w:rsidRPr="003E0390">
        <w:rPr>
          <w:rFonts w:ascii="Arial Narrow" w:hAnsi="Arial Narrow" w:cs="Times New Roman"/>
          <w:w w:val="111"/>
          <w:sz w:val="23"/>
          <w:szCs w:val="23"/>
        </w:rPr>
        <w:t>pske záležitosti, najmä zabezpečuje konzistentnosť a plynulosť práce jednotlivých zložení Rady, pripravuje zasadnutia ER a spolu s predsedom ER a Komisiou zabezpečuje ich nadväznosť, zodpovedá za celkovú koordináciu politík, atď.</w:t>
      </w:r>
    </w:p>
    <w:p w:rsidR="00313E01" w:rsidRPr="003E0390" w:rsidRDefault="00313E01"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b/>
          <w:w w:val="111"/>
          <w:sz w:val="23"/>
          <w:szCs w:val="23"/>
        </w:rPr>
        <w:t>Rada pre zahraničné veci</w:t>
      </w:r>
      <w:r w:rsidRPr="003E0390">
        <w:rPr>
          <w:rFonts w:ascii="Arial Narrow" w:hAnsi="Arial Narrow" w:cs="Times New Roman"/>
          <w:w w:val="111"/>
          <w:sz w:val="23"/>
          <w:szCs w:val="23"/>
        </w:rPr>
        <w:t>, ktorej členmi sú ministri ZV členských štátov, najmä zabezpečuje konzistentnosť vonkajšej činnosti Únie na základe strategických usmernení ER a zodpovedá za spoločnú zahraničnú a bezpečnostnú politiku, spoločnú obchodnú politiku</w:t>
      </w:r>
      <w:r w:rsidR="008A007B" w:rsidRPr="003E0390">
        <w:rPr>
          <w:rFonts w:ascii="Arial Narrow" w:hAnsi="Arial Narrow" w:cs="Times New Roman"/>
          <w:w w:val="111"/>
          <w:sz w:val="23"/>
          <w:szCs w:val="23"/>
        </w:rPr>
        <w:t xml:space="preserve">, rozvojovú spoluprácu a humanitárnu pomoc Únie. Rade pre </w:t>
      </w:r>
      <w:proofErr w:type="spellStart"/>
      <w:r w:rsidR="008A007B" w:rsidRPr="003E0390">
        <w:rPr>
          <w:rFonts w:ascii="Arial Narrow" w:hAnsi="Arial Narrow" w:cs="Times New Roman"/>
          <w:w w:val="111"/>
          <w:sz w:val="23"/>
          <w:szCs w:val="23"/>
        </w:rPr>
        <w:t>zahr.veci</w:t>
      </w:r>
      <w:proofErr w:type="spellEnd"/>
      <w:r w:rsidR="008A007B" w:rsidRPr="003E0390">
        <w:rPr>
          <w:rFonts w:ascii="Arial Narrow" w:hAnsi="Arial Narrow" w:cs="Times New Roman"/>
          <w:w w:val="111"/>
          <w:sz w:val="23"/>
          <w:szCs w:val="23"/>
        </w:rPr>
        <w:t xml:space="preserve"> predsedá Vysoký predstaviteľ Únie pre </w:t>
      </w:r>
      <w:proofErr w:type="spellStart"/>
      <w:r w:rsidR="008A007B" w:rsidRPr="003E0390">
        <w:rPr>
          <w:rFonts w:ascii="Arial Narrow" w:hAnsi="Arial Narrow" w:cs="Times New Roman"/>
          <w:w w:val="111"/>
          <w:sz w:val="23"/>
          <w:szCs w:val="23"/>
        </w:rPr>
        <w:t>zahr.veci</w:t>
      </w:r>
      <w:proofErr w:type="spellEnd"/>
      <w:r w:rsidR="008A007B" w:rsidRPr="003E0390">
        <w:rPr>
          <w:rFonts w:ascii="Arial Narrow" w:hAnsi="Arial Narrow" w:cs="Times New Roman"/>
          <w:w w:val="111"/>
          <w:sz w:val="23"/>
          <w:szCs w:val="23"/>
        </w:rPr>
        <w:t xml:space="preserve"> a bezpečnostnú politiku.</w:t>
      </w:r>
    </w:p>
    <w:p w:rsidR="006117C8" w:rsidRPr="003E0390" w:rsidRDefault="006117C8"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p>
    <w:p w:rsidR="008A007B" w:rsidRPr="003E0390" w:rsidRDefault="008A007B" w:rsidP="00BD26E7">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Medzi ďalšie zloženia Rady, ktorých členmi sú ministri príslušných rezortov, patria:</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hospodárske a finančné záležitosti</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spravodlivosť a vnútorné záležitosti</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zamestnanosť, sociálna politika, zdravotníctvo a ochrana spotrebiteľa</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vnútorný trh, priemysel a výskum, vrátane cestovného ruchu</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doprava, telekomunikácie a energetika</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poľnohospodárstvo a rybné hospodárstvo</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životné prostredie</w:t>
      </w:r>
    </w:p>
    <w:p w:rsidR="008A007B" w:rsidRPr="003E0390" w:rsidRDefault="008A007B" w:rsidP="008A007B">
      <w:pPr>
        <w:pStyle w:val="Odsekzoznamu"/>
        <w:widowControl w:val="0"/>
        <w:numPr>
          <w:ilvl w:val="0"/>
          <w:numId w:val="8"/>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vzdelávanie, mládež a kultúra</w:t>
      </w:r>
    </w:p>
    <w:p w:rsidR="008A007B" w:rsidRPr="003E0390" w:rsidRDefault="008A007B" w:rsidP="008A007B">
      <w:pPr>
        <w:widowControl w:val="0"/>
        <w:autoSpaceDE w:val="0"/>
        <w:autoSpaceDN w:val="0"/>
        <w:adjustRightInd w:val="0"/>
        <w:spacing w:after="0" w:line="238" w:lineRule="auto"/>
        <w:ind w:left="360" w:right="960"/>
        <w:jc w:val="both"/>
        <w:rPr>
          <w:rFonts w:ascii="Arial Narrow" w:hAnsi="Arial Narrow" w:cs="Times New Roman"/>
          <w:w w:val="111"/>
          <w:sz w:val="23"/>
          <w:szCs w:val="23"/>
        </w:rPr>
      </w:pPr>
    </w:p>
    <w:p w:rsidR="008A007B" w:rsidRPr="003E0390" w:rsidRDefault="008A007B"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Forma „</w:t>
      </w:r>
      <w:proofErr w:type="spellStart"/>
      <w:r w:rsidRPr="003E0390">
        <w:rPr>
          <w:rFonts w:ascii="Arial Narrow" w:hAnsi="Arial Narrow" w:cs="Times New Roman"/>
          <w:w w:val="111"/>
          <w:sz w:val="23"/>
          <w:szCs w:val="23"/>
        </w:rPr>
        <w:t>jumbo</w:t>
      </w:r>
      <w:proofErr w:type="spellEnd"/>
      <w:r w:rsidRPr="003E0390">
        <w:rPr>
          <w:rFonts w:ascii="Arial Narrow" w:hAnsi="Arial Narrow" w:cs="Times New Roman"/>
          <w:w w:val="111"/>
          <w:sz w:val="23"/>
          <w:szCs w:val="23"/>
        </w:rPr>
        <w:t>“ združuje viacerých ministrov členských štátov, ak sa prerokúvajú prierezové otázky.</w:t>
      </w:r>
    </w:p>
    <w:p w:rsidR="008A007B" w:rsidRPr="003E0390" w:rsidRDefault="008A007B" w:rsidP="008A007B">
      <w:pPr>
        <w:widowControl w:val="0"/>
        <w:autoSpaceDE w:val="0"/>
        <w:autoSpaceDN w:val="0"/>
        <w:adjustRightInd w:val="0"/>
        <w:spacing w:after="0" w:line="238" w:lineRule="auto"/>
        <w:ind w:left="360" w:right="960"/>
        <w:jc w:val="both"/>
        <w:rPr>
          <w:rFonts w:ascii="Arial Narrow" w:hAnsi="Arial Narrow" w:cs="Times New Roman"/>
          <w:w w:val="111"/>
          <w:sz w:val="23"/>
          <w:szCs w:val="23"/>
        </w:rPr>
      </w:pPr>
    </w:p>
    <w:p w:rsidR="008A007B" w:rsidRPr="003E0390" w:rsidRDefault="008A007B"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Zasadnutia Rady zvoláva jej predseda z vlastného podnetu, na podnet je člena alebo na podnet Komisie. Rada zasadá a má sídlo v Bruseli, okrem apríla, júna a októbra, keď zasadá v Luxemburgu.</w:t>
      </w:r>
    </w:p>
    <w:p w:rsidR="006117C8" w:rsidRPr="003E0390" w:rsidRDefault="008A007B"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Zasadnutia Rady sú verejné iba počas prerokúvania a hlasovania o návrhoch legislatívnych aktov, v ostatných prípadoch len výnimočne. Z tohto dôvodu je každé zasadnutie rozdelené na 2 časti</w:t>
      </w:r>
      <w:r w:rsidR="006117C8" w:rsidRPr="003E0390">
        <w:rPr>
          <w:rFonts w:ascii="Arial Narrow" w:hAnsi="Arial Narrow" w:cs="Times New Roman"/>
          <w:w w:val="111"/>
          <w:sz w:val="23"/>
          <w:szCs w:val="23"/>
        </w:rPr>
        <w:t>: na prerokúvanie legislatívnych aktov a na nelegislatívne činnosti.</w:t>
      </w:r>
    </w:p>
    <w:p w:rsidR="006117C8" w:rsidRPr="003E0390" w:rsidRDefault="006117C8" w:rsidP="008A007B">
      <w:pPr>
        <w:widowControl w:val="0"/>
        <w:autoSpaceDE w:val="0"/>
        <w:autoSpaceDN w:val="0"/>
        <w:adjustRightInd w:val="0"/>
        <w:spacing w:after="0" w:line="238" w:lineRule="auto"/>
        <w:ind w:left="360" w:right="960"/>
        <w:jc w:val="both"/>
        <w:rPr>
          <w:rFonts w:ascii="Arial Narrow" w:hAnsi="Arial Narrow" w:cs="Times New Roman"/>
          <w:w w:val="111"/>
          <w:sz w:val="23"/>
          <w:szCs w:val="23"/>
        </w:rPr>
      </w:pPr>
    </w:p>
    <w:p w:rsidR="008A007B" w:rsidRPr="003E0390" w:rsidRDefault="006117C8"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Rada je uznášaniaschopná, ak je prítomná väčšina jej členov, ktorí sú oprávnení hlasovať. Rada sa uznáša na podnet je predsedu alebo so súhlasom väčšiny jej členov aj na podnet jej člena alebo Komisie.</w:t>
      </w:r>
      <w:r w:rsidR="008A007B" w:rsidRPr="003E0390">
        <w:rPr>
          <w:rFonts w:ascii="Arial Narrow" w:hAnsi="Arial Narrow" w:cs="Times New Roman"/>
          <w:w w:val="111"/>
          <w:sz w:val="23"/>
          <w:szCs w:val="23"/>
        </w:rPr>
        <w:t xml:space="preserve"> </w:t>
      </w:r>
    </w:p>
    <w:p w:rsidR="006117C8" w:rsidRPr="003E0390" w:rsidRDefault="006117C8"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V určitých prípadoch sa hlasovania nezúčastňujú všetky štáty a oprávnené sú hlasovať len tie štáty, ktorých menou je euro alebo len štáty, ktoré sa zúčastňujú na posilnenej spolupráci alebo nemôže hlasovať členský štát, ktorý je predmetom rozhodovania o porušení základných hodnôt alebo ktorého hlasovacie práva boli pozastavené.</w:t>
      </w:r>
    </w:p>
    <w:p w:rsidR="006117C8" w:rsidRPr="003E0390" w:rsidRDefault="006117C8"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Pri hlasovaní môže člen Rady na základe splnomocnenia hlasovať najviac za jedného ďalšieho člena. </w:t>
      </w:r>
    </w:p>
    <w:p w:rsidR="006117C8" w:rsidRPr="003E0390" w:rsidRDefault="006117C8"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Rada môže prijímať rozhodnutia buď na zasadnutí, alebo písomným hlasovaním v prípade naliehavých záležitostí na základe jednomyseľného rozhodnutia Rady alebo </w:t>
      </w:r>
      <w:proofErr w:type="spellStart"/>
      <w:r w:rsidRPr="003E0390">
        <w:rPr>
          <w:rFonts w:ascii="Arial Narrow" w:hAnsi="Arial Narrow" w:cs="Times New Roman"/>
          <w:w w:val="111"/>
          <w:sz w:val="23"/>
          <w:szCs w:val="23"/>
        </w:rPr>
        <w:t>Coreper-u</w:t>
      </w:r>
      <w:proofErr w:type="spellEnd"/>
      <w:r w:rsidRPr="003E0390">
        <w:rPr>
          <w:rFonts w:ascii="Arial Narrow" w:hAnsi="Arial Narrow" w:cs="Times New Roman"/>
          <w:w w:val="111"/>
          <w:sz w:val="23"/>
          <w:szCs w:val="23"/>
        </w:rPr>
        <w:t xml:space="preserve"> alebo na návrh jej predsedu, ak s tým súhlasia všetci jej členovia s hlasovacím právom.</w:t>
      </w:r>
    </w:p>
    <w:p w:rsidR="006117C8" w:rsidRPr="003E0390" w:rsidRDefault="006117C8" w:rsidP="008A007B">
      <w:pPr>
        <w:widowControl w:val="0"/>
        <w:autoSpaceDE w:val="0"/>
        <w:autoSpaceDN w:val="0"/>
        <w:adjustRightInd w:val="0"/>
        <w:spacing w:after="0" w:line="238" w:lineRule="auto"/>
        <w:ind w:left="360" w:right="960"/>
        <w:jc w:val="both"/>
        <w:rPr>
          <w:rFonts w:ascii="Arial Narrow" w:hAnsi="Arial Narrow" w:cs="Times New Roman"/>
          <w:w w:val="111"/>
          <w:sz w:val="23"/>
          <w:szCs w:val="23"/>
        </w:rPr>
      </w:pPr>
    </w:p>
    <w:p w:rsidR="006117C8" w:rsidRPr="003E0390" w:rsidRDefault="006117C8"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Rada sa uznáša nasledujúcimi spôsobmi:</w:t>
      </w:r>
    </w:p>
    <w:p w:rsidR="003D60A4" w:rsidRPr="003E0390" w:rsidRDefault="003D60A4"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p>
    <w:p w:rsidR="006117C8" w:rsidRPr="003E0390" w:rsidRDefault="006117C8" w:rsidP="006117C8">
      <w:pPr>
        <w:pStyle w:val="Odsekzoznamu"/>
        <w:widowControl w:val="0"/>
        <w:numPr>
          <w:ilvl w:val="0"/>
          <w:numId w:val="9"/>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b/>
          <w:w w:val="111"/>
          <w:sz w:val="23"/>
          <w:szCs w:val="23"/>
        </w:rPr>
        <w:lastRenderedPageBreak/>
        <w:t>kvalifikovanou väčšinou</w:t>
      </w:r>
      <w:r w:rsidRPr="003E0390">
        <w:rPr>
          <w:rFonts w:ascii="Arial Narrow" w:hAnsi="Arial Narrow" w:cs="Times New Roman"/>
          <w:w w:val="111"/>
          <w:sz w:val="23"/>
          <w:szCs w:val="23"/>
        </w:rPr>
        <w:t xml:space="preserve">, ak zmluvy neustanovujú inak. Je najčastejší spôsob uznášania sa Rady a postupne nahrádza jednomyseľné hlasovania. </w:t>
      </w:r>
    </w:p>
    <w:p w:rsidR="00A25D3A" w:rsidRPr="003E0390" w:rsidRDefault="00A25D3A" w:rsidP="00A25D3A">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Prechodné obdobia:</w:t>
      </w:r>
    </w:p>
    <w:p w:rsidR="00A25D3A" w:rsidRPr="003E0390" w:rsidRDefault="00A25D3A" w:rsidP="00A25D3A">
      <w:pPr>
        <w:pStyle w:val="Odsekzoznamu"/>
        <w:widowControl w:val="0"/>
        <w:numPr>
          <w:ilvl w:val="0"/>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do 31.10.2014 dočasne platia pravidlá hlasovania, ktoré platili pred prijatím Lisabonskej zmluvy a ktoré zvýhodňujú menšie štáty. </w:t>
      </w:r>
      <w:r w:rsidR="003D60A4" w:rsidRPr="003E0390">
        <w:rPr>
          <w:rFonts w:ascii="Arial Narrow" w:hAnsi="Arial Narrow" w:cs="Times New Roman"/>
          <w:w w:val="111"/>
          <w:sz w:val="23"/>
          <w:szCs w:val="23"/>
        </w:rPr>
        <w:t>Uznesenie Rady sa považuje za</w:t>
      </w:r>
      <w:r w:rsidR="00823ACB" w:rsidRPr="003E0390">
        <w:rPr>
          <w:rFonts w:ascii="Arial Narrow" w:hAnsi="Arial Narrow" w:cs="Times New Roman"/>
          <w:w w:val="111"/>
          <w:sz w:val="23"/>
          <w:szCs w:val="23"/>
        </w:rPr>
        <w:t xml:space="preserve"> </w:t>
      </w:r>
      <w:r w:rsidR="003D60A4" w:rsidRPr="003E0390">
        <w:rPr>
          <w:rFonts w:ascii="Arial Narrow" w:hAnsi="Arial Narrow" w:cs="Times New Roman"/>
          <w:w w:val="111"/>
          <w:sz w:val="23"/>
          <w:szCs w:val="23"/>
        </w:rPr>
        <w:t>prijaté kvalifikovanou väčšinou, ak sú splnené súčasne p</w:t>
      </w:r>
      <w:r w:rsidRPr="003E0390">
        <w:rPr>
          <w:rFonts w:ascii="Arial Narrow" w:hAnsi="Arial Narrow" w:cs="Times New Roman"/>
          <w:w w:val="111"/>
          <w:sz w:val="23"/>
          <w:szCs w:val="23"/>
        </w:rPr>
        <w:t>odmienky:</w:t>
      </w:r>
    </w:p>
    <w:p w:rsidR="00A25D3A" w:rsidRPr="003E0390" w:rsidRDefault="00A25D3A" w:rsidP="00A25D3A">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 prijatie uznesenia hlasovali ČŠ, ktorí majú aspoň 255 hlasov z celkového počtu 345 hlasov, pričom hlas každého ČŠ mal určitú váhu</w:t>
      </w:r>
    </w:p>
    <w:p w:rsidR="00A25D3A" w:rsidRPr="003E0390" w:rsidRDefault="00A25D3A" w:rsidP="00A25D3A">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 prijatie uznesenia hlasovala väčšina ČŠ, ak sa hlasovalo na návrh Komisie, resp. aspoň 2/3 ČŠ v ostatných prípadoch</w:t>
      </w:r>
    </w:p>
    <w:p w:rsidR="003D60A4" w:rsidRPr="003E0390" w:rsidRDefault="003D60A4" w:rsidP="00A25D3A">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 prijatie uznesenia hlasovali ČŠ, ktoré zastupujú aspoň 62% obyvateľov Únie</w:t>
      </w:r>
    </w:p>
    <w:p w:rsidR="00823ACB" w:rsidRPr="003E0390" w:rsidRDefault="003D60A4" w:rsidP="00A25D3A">
      <w:pPr>
        <w:pStyle w:val="Odsekzoznamu"/>
        <w:widowControl w:val="0"/>
        <w:numPr>
          <w:ilvl w:val="0"/>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od 1.11.201</w:t>
      </w:r>
      <w:r w:rsidR="00823ACB" w:rsidRPr="003E0390">
        <w:rPr>
          <w:rFonts w:ascii="Arial Narrow" w:hAnsi="Arial Narrow" w:cs="Times New Roman"/>
          <w:w w:val="111"/>
          <w:sz w:val="23"/>
          <w:szCs w:val="23"/>
        </w:rPr>
        <w:t>4</w:t>
      </w:r>
      <w:r w:rsidRPr="003E0390">
        <w:rPr>
          <w:rFonts w:ascii="Arial Narrow" w:hAnsi="Arial Narrow" w:cs="Times New Roman"/>
          <w:w w:val="111"/>
          <w:sz w:val="23"/>
          <w:szCs w:val="23"/>
        </w:rPr>
        <w:t xml:space="preserve"> sa</w:t>
      </w:r>
      <w:r w:rsidR="00823ACB" w:rsidRPr="003E0390">
        <w:rPr>
          <w:rFonts w:ascii="Arial Narrow" w:hAnsi="Arial Narrow" w:cs="Times New Roman"/>
          <w:w w:val="111"/>
          <w:sz w:val="23"/>
          <w:szCs w:val="23"/>
        </w:rPr>
        <w:t xml:space="preserve"> uznesenie Rad považuje za prijaté kvalifikovanou väčšinou ak je splnený tzv. systém dvojitej väčšiny:</w:t>
      </w:r>
    </w:p>
    <w:p w:rsidR="00823ACB" w:rsidRPr="003E0390" w:rsidRDefault="00823ACB" w:rsidP="00823ACB">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 prijatie uznesenia hlasovalo aspoň 55% ČŠ pozostávajúcich najmenej z 15 ČŠ, ak sa hlasovalo na návrh Komisie alebo na návrh Vysokého predstaviteľa, resp. aspoň 72% ČŠ v ostatných prípadoch</w:t>
      </w:r>
    </w:p>
    <w:p w:rsidR="00823ACB" w:rsidRPr="003E0390" w:rsidRDefault="00823ACB" w:rsidP="00823ACB">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Za prijatie uznesenia hlasovali ČŠ, ktoré zastupujú aspoň 65% obyvateľov Únie</w:t>
      </w:r>
    </w:p>
    <w:p w:rsidR="00823ACB" w:rsidRPr="003E0390" w:rsidRDefault="00823ACB" w:rsidP="00823ACB">
      <w:pPr>
        <w:widowControl w:val="0"/>
        <w:autoSpaceDE w:val="0"/>
        <w:autoSpaceDN w:val="0"/>
        <w:adjustRightInd w:val="0"/>
        <w:spacing w:after="0" w:line="238" w:lineRule="auto"/>
        <w:ind w:left="708"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Blokujúcu menšinu musia tvoriť najmenej 4 ČŠ, inak sa </w:t>
      </w:r>
      <w:proofErr w:type="spellStart"/>
      <w:r w:rsidRPr="003E0390">
        <w:rPr>
          <w:rFonts w:ascii="Arial Narrow" w:hAnsi="Arial Narrow" w:cs="Times New Roman"/>
          <w:w w:val="111"/>
          <w:sz w:val="23"/>
          <w:szCs w:val="23"/>
        </w:rPr>
        <w:t>kvalif</w:t>
      </w:r>
      <w:proofErr w:type="spellEnd"/>
      <w:r w:rsidRPr="003E0390">
        <w:rPr>
          <w:rFonts w:ascii="Arial Narrow" w:hAnsi="Arial Narrow" w:cs="Times New Roman"/>
          <w:w w:val="111"/>
          <w:sz w:val="23"/>
          <w:szCs w:val="23"/>
        </w:rPr>
        <w:t xml:space="preserve">. väčšina považuje za dosiahnutú. Toto </w:t>
      </w:r>
      <w:proofErr w:type="spellStart"/>
      <w:r w:rsidRPr="003E0390">
        <w:rPr>
          <w:rFonts w:ascii="Arial Narrow" w:hAnsi="Arial Narrow" w:cs="Times New Roman"/>
          <w:w w:val="111"/>
          <w:sz w:val="23"/>
          <w:szCs w:val="23"/>
        </w:rPr>
        <w:t>pravodlo</w:t>
      </w:r>
      <w:proofErr w:type="spellEnd"/>
      <w:r w:rsidRPr="003E0390">
        <w:rPr>
          <w:rFonts w:ascii="Arial Narrow" w:hAnsi="Arial Narrow" w:cs="Times New Roman"/>
          <w:w w:val="111"/>
          <w:sz w:val="23"/>
          <w:szCs w:val="23"/>
        </w:rPr>
        <w:t xml:space="preserve"> sa uplatní, ak demografická väčšina nie je splnená a prijatie rozhodnutia by mohli zablokovať tri zo štátov s najväčšou populáciou – </w:t>
      </w:r>
      <w:proofErr w:type="spellStart"/>
      <w:r w:rsidRPr="003E0390">
        <w:rPr>
          <w:rFonts w:ascii="Arial Narrow" w:hAnsi="Arial Narrow" w:cs="Times New Roman"/>
          <w:w w:val="111"/>
          <w:sz w:val="23"/>
          <w:szCs w:val="23"/>
        </w:rPr>
        <w:t>Nem</w:t>
      </w:r>
      <w:proofErr w:type="spellEnd"/>
      <w:r w:rsidRPr="003E0390">
        <w:rPr>
          <w:rFonts w:ascii="Arial Narrow" w:hAnsi="Arial Narrow" w:cs="Times New Roman"/>
          <w:w w:val="111"/>
          <w:sz w:val="23"/>
          <w:szCs w:val="23"/>
        </w:rPr>
        <w:t xml:space="preserve">., Franc., </w:t>
      </w:r>
      <w:proofErr w:type="spellStart"/>
      <w:r w:rsidRPr="003E0390">
        <w:rPr>
          <w:rFonts w:ascii="Arial Narrow" w:hAnsi="Arial Narrow" w:cs="Times New Roman"/>
          <w:w w:val="111"/>
          <w:sz w:val="23"/>
          <w:szCs w:val="23"/>
        </w:rPr>
        <w:t>Tal</w:t>
      </w:r>
      <w:proofErr w:type="spellEnd"/>
      <w:r w:rsidRPr="003E0390">
        <w:rPr>
          <w:rFonts w:ascii="Arial Narrow" w:hAnsi="Arial Narrow" w:cs="Times New Roman"/>
          <w:w w:val="111"/>
          <w:sz w:val="23"/>
          <w:szCs w:val="23"/>
        </w:rPr>
        <w:t xml:space="preserve">., </w:t>
      </w:r>
      <w:proofErr w:type="spellStart"/>
      <w:r w:rsidRPr="003E0390">
        <w:rPr>
          <w:rFonts w:ascii="Arial Narrow" w:hAnsi="Arial Narrow" w:cs="Times New Roman"/>
          <w:w w:val="111"/>
          <w:sz w:val="23"/>
          <w:szCs w:val="23"/>
        </w:rPr>
        <w:t>Špan</w:t>
      </w:r>
      <w:proofErr w:type="spellEnd"/>
      <w:r w:rsidRPr="003E0390">
        <w:rPr>
          <w:rFonts w:ascii="Arial Narrow" w:hAnsi="Arial Narrow" w:cs="Times New Roman"/>
          <w:w w:val="111"/>
          <w:sz w:val="23"/>
          <w:szCs w:val="23"/>
        </w:rPr>
        <w:t>., Poľsko, Kráľ. VB</w:t>
      </w:r>
    </w:p>
    <w:p w:rsidR="003D60A4" w:rsidRPr="003E0390" w:rsidRDefault="00823ACB" w:rsidP="00823ACB">
      <w:pPr>
        <w:pStyle w:val="Odsekzoznamu"/>
        <w:widowControl w:val="0"/>
        <w:numPr>
          <w:ilvl w:val="0"/>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od 1.11.2014</w:t>
      </w:r>
      <w:r w:rsidRPr="003E0390">
        <w:rPr>
          <w:rFonts w:ascii="Arial Narrow" w:hAnsi="Arial Narrow" w:cs="Times New Roman"/>
          <w:w w:val="111"/>
          <w:sz w:val="23"/>
          <w:szCs w:val="23"/>
        </w:rPr>
        <w:t xml:space="preserve"> do 31.3.2017 </w:t>
      </w:r>
      <w:r w:rsidRPr="003E0390">
        <w:rPr>
          <w:rFonts w:ascii="Arial Narrow" w:hAnsi="Arial Narrow" w:cs="Times New Roman"/>
          <w:w w:val="111"/>
          <w:sz w:val="23"/>
          <w:szCs w:val="23"/>
        </w:rPr>
        <w:t xml:space="preserve"> </w:t>
      </w:r>
      <w:r w:rsidRPr="003E0390">
        <w:rPr>
          <w:rFonts w:ascii="Arial Narrow" w:hAnsi="Arial Narrow" w:cs="Times New Roman"/>
          <w:w w:val="111"/>
          <w:sz w:val="23"/>
          <w:szCs w:val="23"/>
        </w:rPr>
        <w:t>môže člen Rady požiadať, aby sa na prijatie uznesenia kvalifikovanou väčšinou uplatnili pravidlá platné do 31.10.2014</w:t>
      </w:r>
    </w:p>
    <w:p w:rsidR="00823ACB" w:rsidRPr="003E0390" w:rsidRDefault="00823ACB" w:rsidP="00823ACB">
      <w:pPr>
        <w:pStyle w:val="Odsekzoznamu"/>
        <w:widowControl w:val="0"/>
        <w:autoSpaceDE w:val="0"/>
        <w:autoSpaceDN w:val="0"/>
        <w:adjustRightInd w:val="0"/>
        <w:spacing w:after="0" w:line="238" w:lineRule="auto"/>
        <w:ind w:right="960"/>
        <w:jc w:val="both"/>
        <w:rPr>
          <w:rFonts w:ascii="Arial Narrow" w:hAnsi="Arial Narrow" w:cs="Times New Roman"/>
          <w:w w:val="111"/>
          <w:sz w:val="23"/>
          <w:szCs w:val="23"/>
        </w:rPr>
      </w:pPr>
    </w:p>
    <w:p w:rsidR="00A25D3A" w:rsidRPr="003E0390" w:rsidRDefault="00823ACB" w:rsidP="006117C8">
      <w:pPr>
        <w:pStyle w:val="Odsekzoznamu"/>
        <w:widowControl w:val="0"/>
        <w:numPr>
          <w:ilvl w:val="0"/>
          <w:numId w:val="9"/>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b/>
          <w:w w:val="111"/>
          <w:sz w:val="23"/>
          <w:szCs w:val="23"/>
        </w:rPr>
        <w:t>absolútnou väčšinou</w:t>
      </w:r>
      <w:r w:rsidRPr="003E0390">
        <w:rPr>
          <w:rFonts w:ascii="Arial Narrow" w:hAnsi="Arial Narrow" w:cs="Times New Roman"/>
          <w:w w:val="111"/>
          <w:sz w:val="23"/>
          <w:szCs w:val="23"/>
        </w:rPr>
        <w:t xml:space="preserve">: napr. pri rozhodovaní o procesných otázkach spoločnej </w:t>
      </w:r>
      <w:proofErr w:type="spellStart"/>
      <w:r w:rsidRPr="003E0390">
        <w:rPr>
          <w:rFonts w:ascii="Arial Narrow" w:hAnsi="Arial Narrow" w:cs="Times New Roman"/>
          <w:w w:val="111"/>
          <w:sz w:val="23"/>
          <w:szCs w:val="23"/>
        </w:rPr>
        <w:t>zahr</w:t>
      </w:r>
      <w:proofErr w:type="spellEnd"/>
      <w:r w:rsidRPr="003E0390">
        <w:rPr>
          <w:rFonts w:ascii="Arial Narrow" w:hAnsi="Arial Narrow" w:cs="Times New Roman"/>
          <w:w w:val="111"/>
          <w:sz w:val="23"/>
          <w:szCs w:val="23"/>
        </w:rPr>
        <w:t>. a </w:t>
      </w:r>
      <w:proofErr w:type="spellStart"/>
      <w:r w:rsidRPr="003E0390">
        <w:rPr>
          <w:rFonts w:ascii="Arial Narrow" w:hAnsi="Arial Narrow" w:cs="Times New Roman"/>
          <w:w w:val="111"/>
          <w:sz w:val="23"/>
          <w:szCs w:val="23"/>
        </w:rPr>
        <w:t>bezpečn</w:t>
      </w:r>
      <w:proofErr w:type="spellEnd"/>
      <w:r w:rsidRPr="003E0390">
        <w:rPr>
          <w:rFonts w:ascii="Arial Narrow" w:hAnsi="Arial Narrow" w:cs="Times New Roman"/>
          <w:w w:val="111"/>
          <w:sz w:val="23"/>
          <w:szCs w:val="23"/>
        </w:rPr>
        <w:t>. Politiky, pri požiadaní Komisie,</w:t>
      </w:r>
      <w:r w:rsidR="00C06032" w:rsidRPr="003E0390">
        <w:rPr>
          <w:rFonts w:ascii="Arial Narrow" w:hAnsi="Arial Narrow" w:cs="Times New Roman"/>
          <w:w w:val="111"/>
          <w:sz w:val="23"/>
          <w:szCs w:val="23"/>
        </w:rPr>
        <w:t xml:space="preserve"> </w:t>
      </w:r>
      <w:r w:rsidRPr="003E0390">
        <w:rPr>
          <w:rFonts w:ascii="Arial Narrow" w:hAnsi="Arial Narrow" w:cs="Times New Roman"/>
          <w:w w:val="111"/>
          <w:sz w:val="23"/>
          <w:szCs w:val="23"/>
        </w:rPr>
        <w:t>aby ur</w:t>
      </w:r>
      <w:r w:rsidR="00C06032" w:rsidRPr="003E0390">
        <w:rPr>
          <w:rFonts w:ascii="Arial Narrow" w:hAnsi="Arial Narrow" w:cs="Times New Roman"/>
          <w:w w:val="111"/>
          <w:sz w:val="23"/>
          <w:szCs w:val="23"/>
        </w:rPr>
        <w:t>o</w:t>
      </w:r>
      <w:r w:rsidRPr="003E0390">
        <w:rPr>
          <w:rFonts w:ascii="Arial Narrow" w:hAnsi="Arial Narrow" w:cs="Times New Roman"/>
          <w:w w:val="111"/>
          <w:sz w:val="23"/>
          <w:szCs w:val="23"/>
        </w:rPr>
        <w:t>b</w:t>
      </w:r>
      <w:r w:rsidR="00C06032" w:rsidRPr="003E0390">
        <w:rPr>
          <w:rFonts w:ascii="Arial Narrow" w:hAnsi="Arial Narrow" w:cs="Times New Roman"/>
          <w:w w:val="111"/>
          <w:sz w:val="23"/>
          <w:szCs w:val="23"/>
        </w:rPr>
        <w:t>i</w:t>
      </w:r>
      <w:r w:rsidRPr="003E0390">
        <w:rPr>
          <w:rFonts w:ascii="Arial Narrow" w:hAnsi="Arial Narrow" w:cs="Times New Roman"/>
          <w:w w:val="111"/>
          <w:sz w:val="23"/>
          <w:szCs w:val="23"/>
        </w:rPr>
        <w:t>la šetrenia, pri určovaní p</w:t>
      </w:r>
      <w:r w:rsidR="00C06032" w:rsidRPr="003E0390">
        <w:rPr>
          <w:rFonts w:ascii="Arial Narrow" w:hAnsi="Arial Narrow" w:cs="Times New Roman"/>
          <w:w w:val="111"/>
          <w:sz w:val="23"/>
          <w:szCs w:val="23"/>
        </w:rPr>
        <w:t>ostavenia výborov uvedených v zmluvách, pri rozhodovaní o podaní žiadosti o odvolanie člena Komisie pre porušenie povinnosti</w:t>
      </w:r>
    </w:p>
    <w:p w:rsidR="00C06032" w:rsidRPr="003E0390" w:rsidRDefault="00C06032" w:rsidP="006117C8">
      <w:pPr>
        <w:pStyle w:val="Odsekzoznamu"/>
        <w:widowControl w:val="0"/>
        <w:numPr>
          <w:ilvl w:val="0"/>
          <w:numId w:val="9"/>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b/>
          <w:w w:val="111"/>
          <w:sz w:val="23"/>
          <w:szCs w:val="23"/>
        </w:rPr>
        <w:t>4/5 väčšinou</w:t>
      </w:r>
      <w:r w:rsidRPr="003E0390">
        <w:rPr>
          <w:rFonts w:ascii="Arial Narrow" w:hAnsi="Arial Narrow" w:cs="Times New Roman"/>
          <w:w w:val="111"/>
          <w:sz w:val="23"/>
          <w:szCs w:val="23"/>
        </w:rPr>
        <w:t xml:space="preserve"> svojich členov v prípade rozhodovania o existencii rizika porušenia zákl. hodnôt únie členským štátom</w:t>
      </w:r>
    </w:p>
    <w:p w:rsidR="00C06032" w:rsidRPr="003E0390" w:rsidRDefault="00C06032" w:rsidP="006117C8">
      <w:pPr>
        <w:pStyle w:val="Odsekzoznamu"/>
        <w:widowControl w:val="0"/>
        <w:numPr>
          <w:ilvl w:val="0"/>
          <w:numId w:val="9"/>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j</w:t>
      </w:r>
      <w:r w:rsidRPr="003E0390">
        <w:rPr>
          <w:rFonts w:ascii="Arial Narrow" w:hAnsi="Arial Narrow" w:cs="Times New Roman"/>
          <w:b/>
          <w:w w:val="111"/>
          <w:sz w:val="23"/>
          <w:szCs w:val="23"/>
        </w:rPr>
        <w:t>ednomyseľne</w:t>
      </w:r>
      <w:r w:rsidRPr="003E0390">
        <w:rPr>
          <w:rFonts w:ascii="Arial Narrow" w:hAnsi="Arial Narrow" w:cs="Times New Roman"/>
          <w:w w:val="111"/>
          <w:sz w:val="23"/>
          <w:szCs w:val="23"/>
        </w:rPr>
        <w:t xml:space="preserve"> v prípadoch ustanovených zmluvami, pričom zdržanie sa hlasovania nebráni prijatiu uznesenia. Napr. v oblasti spoločnej obrannej politiky, spol. bezpečnostnej a zahraničnej politiky, občianstva Únie</w:t>
      </w:r>
    </w:p>
    <w:p w:rsidR="00C06032" w:rsidRPr="003E0390" w:rsidRDefault="00C06032" w:rsidP="00C06032">
      <w:pPr>
        <w:widowControl w:val="0"/>
        <w:autoSpaceDE w:val="0"/>
        <w:autoSpaceDN w:val="0"/>
        <w:adjustRightInd w:val="0"/>
        <w:spacing w:after="0" w:line="238" w:lineRule="auto"/>
        <w:ind w:right="960"/>
        <w:jc w:val="both"/>
        <w:rPr>
          <w:rFonts w:ascii="Arial Narrow" w:hAnsi="Arial Narrow" w:cs="Times New Roman"/>
          <w:w w:val="111"/>
          <w:sz w:val="23"/>
          <w:szCs w:val="23"/>
        </w:rPr>
      </w:pPr>
    </w:p>
    <w:p w:rsidR="00C06032" w:rsidRPr="003E0390" w:rsidRDefault="00C06032" w:rsidP="00C06032">
      <w:pPr>
        <w:widowControl w:val="0"/>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Právomoci:</w:t>
      </w:r>
    </w:p>
    <w:p w:rsidR="00C06032" w:rsidRPr="003E0390" w:rsidRDefault="00C06032"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spolu s EP vykonáva legislatívne a rozpočtové funkcie</w:t>
      </w:r>
    </w:p>
    <w:p w:rsidR="00C06032" w:rsidRPr="003E0390" w:rsidRDefault="00C06032"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v riadnom legislatívnom postupe sa Rada na prijímaní záväzných aktov Únie zúčastňuje vždy spolurozhodovaním s EP</w:t>
      </w:r>
    </w:p>
    <w:p w:rsidR="00C06032" w:rsidRPr="003E0390" w:rsidRDefault="00C06032"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v mimoriadnom legislatívnom postupe a nelegislatívnych postupoch má rada silnejšie postavenie ako EP. Rada prijíma akty za účasti EP, ktorý podáva súhlasné alebo poradné stanovisko.</w:t>
      </w:r>
    </w:p>
    <w:p w:rsidR="00C06032" w:rsidRPr="003E0390" w:rsidRDefault="00C06032"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určuje a koordinuje politiky Únie a ČŠ, napr. v oblasti spoločnej </w:t>
      </w:r>
      <w:proofErr w:type="spellStart"/>
      <w:r w:rsidRPr="003E0390">
        <w:rPr>
          <w:rFonts w:ascii="Arial Narrow" w:hAnsi="Arial Narrow" w:cs="Times New Roman"/>
          <w:w w:val="111"/>
          <w:sz w:val="23"/>
          <w:szCs w:val="23"/>
        </w:rPr>
        <w:t>zahr</w:t>
      </w:r>
      <w:proofErr w:type="spellEnd"/>
      <w:r w:rsidRPr="003E0390">
        <w:rPr>
          <w:rFonts w:ascii="Arial Narrow" w:hAnsi="Arial Narrow" w:cs="Times New Roman"/>
          <w:w w:val="111"/>
          <w:sz w:val="23"/>
          <w:szCs w:val="23"/>
        </w:rPr>
        <w:t>. a </w:t>
      </w:r>
      <w:proofErr w:type="spellStart"/>
      <w:r w:rsidRPr="003E0390">
        <w:rPr>
          <w:rFonts w:ascii="Arial Narrow" w:hAnsi="Arial Narrow" w:cs="Times New Roman"/>
          <w:w w:val="111"/>
          <w:sz w:val="23"/>
          <w:szCs w:val="23"/>
        </w:rPr>
        <w:t>bezpečn</w:t>
      </w:r>
      <w:proofErr w:type="spellEnd"/>
      <w:r w:rsidRPr="003E0390">
        <w:rPr>
          <w:rFonts w:ascii="Arial Narrow" w:hAnsi="Arial Narrow" w:cs="Times New Roman"/>
          <w:w w:val="111"/>
          <w:sz w:val="23"/>
          <w:szCs w:val="23"/>
        </w:rPr>
        <w:t xml:space="preserve">. politiky spolu s ER </w:t>
      </w:r>
    </w:p>
    <w:p w:rsidR="00C06032" w:rsidRPr="003E0390" w:rsidRDefault="00C06032"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ak je potrebné právne záväzný akt únie vykonať jednotným spôsobom vo všetkých ČŠ, môže základný akt splnomocniť na jeho vykonanie v osobitných prípadoch aj Radu (inak to rieši Komisia) </w:t>
      </w:r>
    </w:p>
    <w:p w:rsidR="00C06032" w:rsidRPr="003E0390" w:rsidRDefault="003E0390"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Rada môže požiadať Komisiu, aby urobila v určitých otázkach šetrenie potrebné na dosiahnutie spoločných cieľov</w:t>
      </w:r>
    </w:p>
    <w:p w:rsidR="003E0390" w:rsidRPr="003E0390" w:rsidRDefault="003E0390"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 xml:space="preserve">Rada prijíma rozpočet v mimoriadnom </w:t>
      </w:r>
      <w:proofErr w:type="spellStart"/>
      <w:r w:rsidRPr="003E0390">
        <w:rPr>
          <w:rFonts w:ascii="Arial Narrow" w:hAnsi="Arial Narrow" w:cs="Times New Roman"/>
          <w:w w:val="111"/>
          <w:sz w:val="23"/>
          <w:szCs w:val="23"/>
        </w:rPr>
        <w:t>legisl</w:t>
      </w:r>
      <w:proofErr w:type="spellEnd"/>
      <w:r w:rsidRPr="003E0390">
        <w:rPr>
          <w:rFonts w:ascii="Arial Narrow" w:hAnsi="Arial Narrow" w:cs="Times New Roman"/>
          <w:w w:val="111"/>
          <w:sz w:val="23"/>
          <w:szCs w:val="23"/>
        </w:rPr>
        <w:t>. postupe spoločne s EP, ktorý ju však môže za určitých podmienok prehlasovať</w:t>
      </w:r>
    </w:p>
    <w:p w:rsidR="003E0390" w:rsidRPr="003E0390" w:rsidRDefault="003E0390"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právomoci pri uzatváraní medzin</w:t>
      </w:r>
      <w:bookmarkStart w:id="0" w:name="_GoBack"/>
      <w:bookmarkEnd w:id="0"/>
      <w:r w:rsidRPr="003E0390">
        <w:rPr>
          <w:rFonts w:ascii="Arial Narrow" w:hAnsi="Arial Narrow" w:cs="Times New Roman"/>
          <w:w w:val="111"/>
          <w:sz w:val="23"/>
          <w:szCs w:val="23"/>
        </w:rPr>
        <w:t>árodných dohôd Úniou s tretími krajinami</w:t>
      </w:r>
    </w:p>
    <w:p w:rsidR="003E0390" w:rsidRPr="003E0390" w:rsidRDefault="003E0390"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3"/>
          <w:szCs w:val="23"/>
        </w:rPr>
      </w:pPr>
      <w:r w:rsidRPr="003E0390">
        <w:rPr>
          <w:rFonts w:ascii="Arial Narrow" w:hAnsi="Arial Narrow" w:cs="Times New Roman"/>
          <w:w w:val="111"/>
          <w:sz w:val="23"/>
          <w:szCs w:val="23"/>
        </w:rPr>
        <w:t>menuje člena Dvora audítorov po porade s EP</w:t>
      </w:r>
    </w:p>
    <w:p w:rsidR="003E0390" w:rsidRPr="00C06032" w:rsidRDefault="003E0390" w:rsidP="00C06032">
      <w:pPr>
        <w:pStyle w:val="Odsekzoznamu"/>
        <w:widowControl w:val="0"/>
        <w:numPr>
          <w:ilvl w:val="1"/>
          <w:numId w:val="10"/>
        </w:numPr>
        <w:autoSpaceDE w:val="0"/>
        <w:autoSpaceDN w:val="0"/>
        <w:adjustRightInd w:val="0"/>
        <w:spacing w:after="0" w:line="238" w:lineRule="auto"/>
        <w:ind w:right="960"/>
        <w:jc w:val="both"/>
        <w:rPr>
          <w:rFonts w:ascii="Arial Narrow" w:hAnsi="Arial Narrow" w:cs="Times New Roman"/>
          <w:w w:val="111"/>
          <w:sz w:val="24"/>
          <w:szCs w:val="24"/>
        </w:rPr>
      </w:pPr>
      <w:r>
        <w:rPr>
          <w:rFonts w:ascii="Arial Narrow" w:hAnsi="Arial Narrow" w:cs="Times New Roman"/>
          <w:w w:val="111"/>
          <w:sz w:val="24"/>
          <w:szCs w:val="24"/>
        </w:rPr>
        <w:t xml:space="preserve">prijíma svoj rokovací poriadok väčšinou hlasov svojich členov </w:t>
      </w:r>
    </w:p>
    <w:sectPr w:rsidR="003E0390" w:rsidRPr="00C06032" w:rsidSect="00BD26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69"/>
    <w:multiLevelType w:val="hybridMultilevel"/>
    <w:tmpl w:val="35345540"/>
    <w:lvl w:ilvl="0" w:tplc="041B000F">
      <w:start w:val="1"/>
      <w:numFmt w:val="decimal"/>
      <w:lvlText w:val="%1."/>
      <w:lvlJc w:val="left"/>
      <w:pPr>
        <w:ind w:left="720" w:hanging="360"/>
      </w:pPr>
      <w:rPr>
        <w:rFonts w:hint="default"/>
      </w:rPr>
    </w:lvl>
    <w:lvl w:ilvl="1" w:tplc="5F56D50E">
      <w:start w:val="5"/>
      <w:numFmt w:val="bullet"/>
      <w:lvlText w:val="-"/>
      <w:lvlJc w:val="left"/>
      <w:pPr>
        <w:ind w:left="1440" w:hanging="360"/>
      </w:pPr>
      <w:rPr>
        <w:rFonts w:ascii="Arial Narrow" w:eastAsiaTheme="minorEastAsia" w:hAnsi="Arial Narrow"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E52AF4"/>
    <w:multiLevelType w:val="hybridMultilevel"/>
    <w:tmpl w:val="0AF2649A"/>
    <w:lvl w:ilvl="0" w:tplc="5F56D50E">
      <w:start w:val="5"/>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0B434C"/>
    <w:multiLevelType w:val="hybridMultilevel"/>
    <w:tmpl w:val="8D465976"/>
    <w:lvl w:ilvl="0" w:tplc="00C83E3A">
      <w:start w:val="1"/>
      <w:numFmt w:val="lowerLetter"/>
      <w:lvlText w:val="%1)"/>
      <w:lvlJc w:val="left"/>
      <w:pPr>
        <w:ind w:left="720" w:hanging="360"/>
      </w:pPr>
      <w:rPr>
        <w:rFonts w:ascii="Times New Roman" w:hAnsi="Times New Roman" w:cs="Times New Roman" w:hint="default"/>
        <w:w w:val="104"/>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0B509E"/>
    <w:multiLevelType w:val="hybridMultilevel"/>
    <w:tmpl w:val="F8F207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0E81D5C"/>
    <w:multiLevelType w:val="hybridMultilevel"/>
    <w:tmpl w:val="C996154A"/>
    <w:lvl w:ilvl="0" w:tplc="68FE77A8">
      <w:start w:val="10"/>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2706939"/>
    <w:multiLevelType w:val="hybridMultilevel"/>
    <w:tmpl w:val="D94A7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1084B39"/>
    <w:multiLevelType w:val="hybridMultilevel"/>
    <w:tmpl w:val="68DE8BDA"/>
    <w:lvl w:ilvl="0" w:tplc="9EF6E68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44866E3"/>
    <w:multiLevelType w:val="hybridMultilevel"/>
    <w:tmpl w:val="A94A0D22"/>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686004B5"/>
    <w:multiLevelType w:val="hybridMultilevel"/>
    <w:tmpl w:val="CACC7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8CE52D2"/>
    <w:multiLevelType w:val="hybridMultilevel"/>
    <w:tmpl w:val="171ABA26"/>
    <w:lvl w:ilvl="0" w:tplc="1E76E7FA">
      <w:start w:val="8"/>
      <w:numFmt w:val="bullet"/>
      <w:lvlText w:val="-"/>
      <w:lvlJc w:val="left"/>
      <w:pPr>
        <w:ind w:left="720" w:hanging="360"/>
      </w:pPr>
      <w:rPr>
        <w:rFonts w:ascii="Arial Narrow" w:eastAsiaTheme="minorEastAsia"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E7"/>
    <w:rsid w:val="00147812"/>
    <w:rsid w:val="0015064A"/>
    <w:rsid w:val="00313E01"/>
    <w:rsid w:val="0036573C"/>
    <w:rsid w:val="003B1A58"/>
    <w:rsid w:val="003D60A4"/>
    <w:rsid w:val="003E0390"/>
    <w:rsid w:val="00453EA0"/>
    <w:rsid w:val="005B2D80"/>
    <w:rsid w:val="006117C8"/>
    <w:rsid w:val="00636626"/>
    <w:rsid w:val="00823ACB"/>
    <w:rsid w:val="008400A3"/>
    <w:rsid w:val="008746EE"/>
    <w:rsid w:val="008A007B"/>
    <w:rsid w:val="008F65EC"/>
    <w:rsid w:val="00913A58"/>
    <w:rsid w:val="00A07786"/>
    <w:rsid w:val="00A25D3A"/>
    <w:rsid w:val="00AB2B1F"/>
    <w:rsid w:val="00AF4D11"/>
    <w:rsid w:val="00BD26E7"/>
    <w:rsid w:val="00C06032"/>
    <w:rsid w:val="00C33A2B"/>
    <w:rsid w:val="00C45B84"/>
    <w:rsid w:val="00C50952"/>
    <w:rsid w:val="00DA73A4"/>
    <w:rsid w:val="00E21055"/>
    <w:rsid w:val="00E74EDB"/>
    <w:rsid w:val="00E84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26E7"/>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26E7"/>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E8DD-6DE7-4B40-8A4B-D30C7973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963</Words>
  <Characters>5493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Edita Lukáčiková</dc:creator>
  <cp:lastModifiedBy>Ing. Edita Lukáčiková</cp:lastModifiedBy>
  <cp:revision>6</cp:revision>
  <dcterms:created xsi:type="dcterms:W3CDTF">2012-03-28T09:43:00Z</dcterms:created>
  <dcterms:modified xsi:type="dcterms:W3CDTF">2012-03-28T11:03:00Z</dcterms:modified>
</cp:coreProperties>
</file>