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37" w:rsidRDefault="00B55A37">
      <w:pPr>
        <w:rPr>
          <w:lang w:val="sk-SK"/>
        </w:rPr>
      </w:pPr>
      <w:r>
        <w:rPr>
          <w:lang w:val="sk-SK"/>
        </w:rPr>
        <w:t xml:space="preserve">Osoba – bytosť, ktorá je </w:t>
      </w:r>
      <w:r w:rsidR="00C32982">
        <w:rPr>
          <w:lang w:val="sk-SK"/>
        </w:rPr>
        <w:t xml:space="preserve">na základe </w:t>
      </w:r>
      <w:r>
        <w:rPr>
          <w:lang w:val="sk-SK"/>
        </w:rPr>
        <w:t>právneho poriadku nositeľkou subjektívnych práv a</w:t>
      </w:r>
      <w:r w:rsidR="00C32982">
        <w:rPr>
          <w:lang w:val="sk-SK"/>
        </w:rPr>
        <w:t> </w:t>
      </w:r>
      <w:r>
        <w:rPr>
          <w:lang w:val="sk-SK"/>
        </w:rPr>
        <w:t>povinností</w:t>
      </w:r>
    </w:p>
    <w:p w:rsidR="00C32982" w:rsidRDefault="00C32982">
      <w:pPr>
        <w:rPr>
          <w:lang w:val="sk-SK"/>
        </w:rPr>
      </w:pPr>
      <w:r>
        <w:rPr>
          <w:lang w:val="sk-SK"/>
        </w:rPr>
        <w:t xml:space="preserve">Forma dáva podstatu vecí / bytia – forma </w:t>
      </w:r>
      <w:proofErr w:type="spellStart"/>
      <w:r>
        <w:rPr>
          <w:lang w:val="sk-SK"/>
        </w:rPr>
        <w:t>dat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esse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rei</w:t>
      </w:r>
      <w:proofErr w:type="spellEnd"/>
    </w:p>
    <w:p w:rsidR="00B55A37" w:rsidRDefault="00B55A37">
      <w:pPr>
        <w:rPr>
          <w:lang w:val="sk-SK"/>
        </w:rPr>
      </w:pPr>
    </w:p>
    <w:p w:rsidR="00F10539" w:rsidRDefault="00686214">
      <w:pPr>
        <w:rPr>
          <w:lang w:val="sk-SK"/>
        </w:rPr>
      </w:pPr>
      <w:r>
        <w:rPr>
          <w:lang w:val="sk-SK"/>
        </w:rPr>
        <w:t xml:space="preserve">Právo = </w:t>
      </w:r>
      <w:proofErr w:type="spellStart"/>
      <w:r>
        <w:rPr>
          <w:lang w:val="sk-SK"/>
        </w:rPr>
        <w:t>ius</w:t>
      </w:r>
      <w:proofErr w:type="spellEnd"/>
    </w:p>
    <w:p w:rsidR="00686214" w:rsidRDefault="00686214">
      <w:pPr>
        <w:rPr>
          <w:lang w:val="sk-SK"/>
        </w:rPr>
      </w:pPr>
      <w:r>
        <w:rPr>
          <w:lang w:val="sk-SK"/>
        </w:rPr>
        <w:t>Ius doctrina – právna náuka</w:t>
      </w:r>
    </w:p>
    <w:p w:rsidR="00686214" w:rsidRDefault="00686214">
      <w:pPr>
        <w:rPr>
          <w:lang w:val="sk-SK"/>
        </w:rPr>
      </w:pPr>
      <w:r>
        <w:rPr>
          <w:lang w:val="sk-SK"/>
        </w:rPr>
        <w:t>Ius prudentia – právnická múdrosť / vzdelanosť</w:t>
      </w:r>
    </w:p>
    <w:p w:rsidR="00686214" w:rsidRDefault="00686214">
      <w:pPr>
        <w:rPr>
          <w:lang w:val="sk-SK"/>
        </w:rPr>
      </w:pPr>
      <w:r>
        <w:rPr>
          <w:lang w:val="sk-SK"/>
        </w:rPr>
        <w:t xml:space="preserve">Iurisdikcia </w:t>
      </w:r>
      <w:r w:rsidR="009A6EBF">
        <w:rPr>
          <w:lang w:val="sk-SK"/>
        </w:rPr>
        <w:t>–</w:t>
      </w:r>
      <w:r>
        <w:rPr>
          <w:lang w:val="sk-SK"/>
        </w:rPr>
        <w:t xml:space="preserve"> </w:t>
      </w:r>
      <w:r w:rsidR="009A6EBF">
        <w:rPr>
          <w:lang w:val="sk-SK"/>
        </w:rPr>
        <w:t>právo hovoriť a konať v mene práva</w:t>
      </w:r>
    </w:p>
    <w:p w:rsidR="009A6EBF" w:rsidRPr="009A6EBF" w:rsidRDefault="009A6EBF" w:rsidP="009A6EB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Rimania výrazom ius nerozumeli len právo, ale aj </w:t>
      </w:r>
      <w:r w:rsidRPr="009A6EBF">
        <w:rPr>
          <w:u w:val="single"/>
          <w:lang w:val="sk-SK"/>
        </w:rPr>
        <w:t>súd</w:t>
      </w:r>
    </w:p>
    <w:p w:rsidR="009A6EBF" w:rsidRDefault="009A6EBF" w:rsidP="009A6EBF">
      <w:pPr>
        <w:rPr>
          <w:lang w:val="sk-SK"/>
        </w:rPr>
      </w:pPr>
      <w:r>
        <w:rPr>
          <w:lang w:val="sk-SK"/>
        </w:rPr>
        <w:t xml:space="preserve">Zákon 12 tabúľ – lex duodecim tabularum </w:t>
      </w:r>
      <w:r w:rsidR="00064540">
        <w:rPr>
          <w:lang w:val="sk-SK"/>
        </w:rPr>
        <w:t xml:space="preserve"> 453 p.n.l.</w:t>
      </w:r>
    </w:p>
    <w:p w:rsidR="009A6EBF" w:rsidRDefault="009A6EBF" w:rsidP="009A6EB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In ius vocatio- pozvanie na súd</w:t>
      </w:r>
    </w:p>
    <w:p w:rsidR="00064540" w:rsidRDefault="00064540" w:rsidP="009A6EB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Prvá písomná právnická zbierka</w:t>
      </w:r>
    </w:p>
    <w:p w:rsidR="00064540" w:rsidRDefault="00064540" w:rsidP="009A6EB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Napísaný na 12 tabuliach</w:t>
      </w:r>
    </w:p>
    <w:p w:rsidR="00064540" w:rsidRDefault="00064540" w:rsidP="00064540">
      <w:pPr>
        <w:rPr>
          <w:lang w:val="sk-SK"/>
        </w:rPr>
      </w:pPr>
      <w:r>
        <w:rPr>
          <w:lang w:val="sk-SK"/>
        </w:rPr>
        <w:t>Rím – prvé mesto, ktoré prevýšilo milión obyvateľov (1,5) 753 p.n.l.</w:t>
      </w:r>
    </w:p>
    <w:p w:rsidR="00064540" w:rsidRDefault="00064540" w:rsidP="00064540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Obyčajové právo – fungovalo pred LDT</w:t>
      </w:r>
    </w:p>
    <w:p w:rsidR="00064540" w:rsidRDefault="00220A3A" w:rsidP="00220A3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Plebejci – chudobná vrstva</w:t>
      </w:r>
    </w:p>
    <w:p w:rsidR="00220A3A" w:rsidRDefault="00220A3A" w:rsidP="00220A3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Patricijovia – šľachta</w:t>
      </w:r>
    </w:p>
    <w:p w:rsidR="00220A3A" w:rsidRDefault="00220A3A" w:rsidP="00220A3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Patricijovia začali plebejcom upierať práva, tak obyčajové právo spísali</w:t>
      </w:r>
    </w:p>
    <w:p w:rsidR="00220A3A" w:rsidRDefault="00220A3A" w:rsidP="00220A3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Tabule boli položené na hlavnom rímskom námestí – forum romanum</w:t>
      </w:r>
    </w:p>
    <w:p w:rsidR="00220A3A" w:rsidRDefault="005C02F7" w:rsidP="00220A3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Doplnené ešte o 2 tabule, ale tie boli neskôr zrušené</w:t>
      </w:r>
    </w:p>
    <w:p w:rsidR="005C02F7" w:rsidRPr="0075414E" w:rsidRDefault="005C02F7" w:rsidP="0075414E">
      <w:pPr>
        <w:pStyle w:val="Odsekzoznamu"/>
        <w:rPr>
          <w:lang w:val="sk-SK"/>
        </w:rPr>
      </w:pPr>
    </w:p>
    <w:p w:rsidR="00064540" w:rsidRDefault="0075414E" w:rsidP="00064540">
      <w:pPr>
        <w:rPr>
          <w:lang w:val="sk-SK"/>
        </w:rPr>
      </w:pPr>
      <w:proofErr w:type="spellStart"/>
      <w:r>
        <w:rPr>
          <w:lang w:val="sk-SK"/>
        </w:rPr>
        <w:t>Iudex</w:t>
      </w:r>
      <w:proofErr w:type="spellEnd"/>
      <w:r>
        <w:rPr>
          <w:lang w:val="sk-SK"/>
        </w:rPr>
        <w:t xml:space="preserve"> – sudca</w:t>
      </w:r>
    </w:p>
    <w:p w:rsidR="0075414E" w:rsidRDefault="0075414E" w:rsidP="00064540">
      <w:pPr>
        <w:rPr>
          <w:lang w:val="sk-SK"/>
        </w:rPr>
      </w:pPr>
      <w:proofErr w:type="spellStart"/>
      <w:r>
        <w:rPr>
          <w:lang w:val="sk-SK"/>
        </w:rPr>
        <w:t>Potestas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iuditialis</w:t>
      </w:r>
      <w:proofErr w:type="spellEnd"/>
      <w:r>
        <w:rPr>
          <w:lang w:val="sk-SK"/>
        </w:rPr>
        <w:t xml:space="preserve"> – súdna moc</w:t>
      </w:r>
    </w:p>
    <w:p w:rsidR="0075414E" w:rsidRDefault="006636E0" w:rsidP="00064540">
      <w:pPr>
        <w:rPr>
          <w:lang w:val="sk-SK"/>
        </w:rPr>
      </w:pPr>
      <w:proofErr w:type="spellStart"/>
      <w:r>
        <w:rPr>
          <w:lang w:val="sk-SK"/>
        </w:rPr>
        <w:t>Iustitia</w:t>
      </w:r>
      <w:proofErr w:type="spellEnd"/>
      <w:r>
        <w:rPr>
          <w:lang w:val="sk-SK"/>
        </w:rPr>
        <w:t xml:space="preserve"> – súdnictvo</w:t>
      </w:r>
    </w:p>
    <w:p w:rsidR="006636E0" w:rsidRPr="00064540" w:rsidRDefault="006636E0" w:rsidP="00064540">
      <w:pPr>
        <w:rPr>
          <w:lang w:val="sk-SK"/>
        </w:rPr>
      </w:pPr>
      <w:r>
        <w:rPr>
          <w:lang w:val="sk-SK"/>
        </w:rPr>
        <w:t xml:space="preserve">Ius – právne postavenie osoby – </w:t>
      </w:r>
      <w:proofErr w:type="spellStart"/>
      <w:r>
        <w:rPr>
          <w:lang w:val="sk-SK"/>
        </w:rPr>
        <w:t>sui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iuris</w:t>
      </w:r>
      <w:proofErr w:type="spellEnd"/>
      <w:r>
        <w:rPr>
          <w:lang w:val="sk-SK"/>
        </w:rPr>
        <w:t xml:space="preserve"> – svojprávne osoby, </w:t>
      </w:r>
      <w:proofErr w:type="spellStart"/>
      <w:r>
        <w:rPr>
          <w:lang w:val="sk-SK"/>
        </w:rPr>
        <w:t>alieni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iuris</w:t>
      </w:r>
      <w:proofErr w:type="spellEnd"/>
      <w:r>
        <w:rPr>
          <w:lang w:val="sk-SK"/>
        </w:rPr>
        <w:t xml:space="preserve"> – slobodné osoby, ale nie celkom svojprávne (manželka, syn), sine </w:t>
      </w:r>
      <w:proofErr w:type="spellStart"/>
      <w:r>
        <w:rPr>
          <w:lang w:val="sk-SK"/>
        </w:rPr>
        <w:t>iuris</w:t>
      </w:r>
      <w:proofErr w:type="spellEnd"/>
      <w:r>
        <w:rPr>
          <w:lang w:val="sk-SK"/>
        </w:rPr>
        <w:t xml:space="preserve"> – bezprávne osoby</w:t>
      </w:r>
    </w:p>
    <w:sectPr w:rsidR="006636E0" w:rsidRPr="00064540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2F4A"/>
    <w:multiLevelType w:val="hybridMultilevel"/>
    <w:tmpl w:val="7E6A1F7A"/>
    <w:lvl w:ilvl="0" w:tplc="65DC2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C9F"/>
    <w:rsid w:val="00064540"/>
    <w:rsid w:val="00220A3A"/>
    <w:rsid w:val="00262BC0"/>
    <w:rsid w:val="003C66E6"/>
    <w:rsid w:val="003E5C9F"/>
    <w:rsid w:val="005C02F7"/>
    <w:rsid w:val="006636E0"/>
    <w:rsid w:val="00686214"/>
    <w:rsid w:val="00742DE2"/>
    <w:rsid w:val="0075414E"/>
    <w:rsid w:val="007F44B9"/>
    <w:rsid w:val="008A01C1"/>
    <w:rsid w:val="008A13F1"/>
    <w:rsid w:val="009A6EBF"/>
    <w:rsid w:val="00AE7034"/>
    <w:rsid w:val="00B55A37"/>
    <w:rsid w:val="00C32982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2008-10-16T09:04:00Z</dcterms:created>
  <dcterms:modified xsi:type="dcterms:W3CDTF">2008-10-19T13:03:00Z</dcterms:modified>
</cp:coreProperties>
</file>